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rPr>
          <w:rFonts w:hint="eastAsia" w:ascii="宋体" w:hAnsi="宋体" w:eastAsia="仿宋" w:cs="宋体"/>
          <w:bCs/>
          <w:sz w:val="32"/>
          <w:szCs w:val="32"/>
          <w:lang w:val="en-US" w:eastAsia="zh-CN"/>
        </w:rPr>
      </w:pPr>
      <w:r>
        <w:rPr>
          <w:rFonts w:hint="eastAsia" w:ascii="宋体" w:hAnsi="宋体" w:eastAsia="仿宋" w:cs="宋体"/>
          <w:bCs/>
          <w:sz w:val="32"/>
          <w:szCs w:val="32"/>
          <w:lang w:val="en-US" w:eastAsia="zh-CN"/>
        </w:rPr>
        <w:t>技术需求</w:t>
      </w:r>
    </w:p>
    <w:p>
      <w:pPr>
        <w:pStyle w:val="6"/>
        <w:numPr>
          <w:ilvl w:val="0"/>
          <w:numId w:val="0"/>
        </w:numPr>
        <w:ind w:left="210" w:leftChars="0"/>
        <w:rPr>
          <w:rFonts w:hint="default"/>
          <w:lang w:val="en-US" w:eastAsia="zh-CN"/>
        </w:rPr>
      </w:pPr>
      <w:r>
        <w:rPr>
          <w:rFonts w:ascii="Times New Roman" w:hAnsi="Times New Roman" w:eastAsia="宋体" w:cs="Times New Roman"/>
          <w:b/>
          <w:sz w:val="24"/>
          <w:szCs w:val="18"/>
        </w:rPr>
        <w:t>一、</w:t>
      </w:r>
      <w:r>
        <w:rPr>
          <w:rFonts w:hint="eastAsia" w:ascii="宋体" w:hAnsi="宋体" w:eastAsia="宋体" w:cs="宋体"/>
          <w:sz w:val="24"/>
          <w:szCs w:val="18"/>
          <w:lang w:val="en-US" w:eastAsia="zh-CN"/>
        </w:rPr>
        <w:t>项目概况</w:t>
      </w:r>
    </w:p>
    <w:p>
      <w:pPr>
        <w:spacing w:line="360" w:lineRule="auto"/>
        <w:ind w:firstLine="435"/>
        <w:rPr>
          <w:rFonts w:hint="default" w:ascii="Times New Roman" w:hAnsi="Times New Roman" w:eastAsia="宋体" w:cs="Times New Roman"/>
          <w:sz w:val="24"/>
          <w:szCs w:val="20"/>
          <w:lang w:val="en-US" w:eastAsia="zh-CN"/>
        </w:rPr>
      </w:pPr>
      <w:r>
        <w:rPr>
          <w:rFonts w:hint="eastAsia" w:cs="Times New Roman"/>
          <w:sz w:val="24"/>
          <w:szCs w:val="20"/>
          <w:lang w:val="en-US" w:eastAsia="zh-CN"/>
        </w:rPr>
        <w:t>安徽财经大学低碳发展于碳金融</w:t>
      </w:r>
      <w:r>
        <w:rPr>
          <w:rFonts w:hint="eastAsia" w:ascii="Times New Roman" w:hAnsi="Times New Roman" w:eastAsia="宋体" w:cs="Times New Roman"/>
          <w:sz w:val="24"/>
          <w:szCs w:val="20"/>
        </w:rPr>
        <w:t>实验室建设的总体任务是：从金融支持“双碳”目标实现的学理基础出发，从“有为政府”和“有效市场”两个维度着手研究实现“双碳”目标的金融支持举措，探索符合中国国情的金融支持体系，推动我国生态文明建设和全面深化改革工作稳步前进，促进经济社会全面协调、可持续发展。</w:t>
      </w:r>
      <w:r>
        <w:rPr>
          <w:rFonts w:hint="eastAsia" w:cs="Times New Roman"/>
          <w:sz w:val="24"/>
          <w:szCs w:val="20"/>
          <w:lang w:val="en-US" w:eastAsia="zh-CN"/>
        </w:rPr>
        <w:t>本次实验室建设需求是建设高效、可扩展的实验室软硬件系统，为以下研究方向的相关科研活动提供充足的硬件支持：</w:t>
      </w:r>
    </w:p>
    <w:p>
      <w:pPr>
        <w:spacing w:line="360" w:lineRule="auto"/>
        <w:ind w:firstLine="435"/>
        <w:rPr>
          <w:rFonts w:hint="eastAsia" w:ascii="Times New Roman" w:hAnsi="Times New Roman" w:eastAsia="宋体" w:cs="Times New Roman"/>
          <w:sz w:val="24"/>
          <w:szCs w:val="20"/>
          <w:lang w:eastAsia="zh-CN"/>
        </w:rPr>
      </w:pPr>
      <w:r>
        <w:rPr>
          <w:rFonts w:hint="eastAsia" w:ascii="Times New Roman" w:hAnsi="Times New Roman" w:eastAsia="宋体" w:cs="Times New Roman"/>
          <w:sz w:val="24"/>
          <w:szCs w:val="20"/>
        </w:rPr>
        <w:t>①构建不同经济主体的低碳行为博弈模型并进行应用场景验证</w:t>
      </w:r>
      <w:r>
        <w:rPr>
          <w:rFonts w:hint="eastAsia" w:ascii="Times New Roman" w:hAnsi="Times New Roman" w:cs="Times New Roman"/>
          <w:sz w:val="24"/>
          <w:szCs w:val="20"/>
          <w:lang w:eastAsia="zh-CN"/>
        </w:rPr>
        <w:t>；</w:t>
      </w:r>
    </w:p>
    <w:p>
      <w:pPr>
        <w:spacing w:line="360" w:lineRule="auto"/>
        <w:ind w:firstLine="435"/>
        <w:rPr>
          <w:rFonts w:hint="eastAsia" w:ascii="Times New Roman" w:hAnsi="Times New Roman" w:cs="Times New Roman"/>
          <w:sz w:val="24"/>
          <w:szCs w:val="20"/>
          <w:lang w:eastAsia="zh-CN"/>
        </w:rPr>
      </w:pPr>
      <w:r>
        <w:rPr>
          <w:rFonts w:hint="eastAsia" w:ascii="Times New Roman" w:hAnsi="Times New Roman" w:eastAsia="宋体" w:cs="Times New Roman"/>
          <w:sz w:val="24"/>
          <w:szCs w:val="20"/>
        </w:rPr>
        <w:t>②构建以中国经济为背景、可评估绿色政策减排效果的动态模型</w:t>
      </w:r>
      <w:r>
        <w:rPr>
          <w:rFonts w:hint="eastAsia" w:ascii="Times New Roman" w:hAnsi="Times New Roman" w:cs="Times New Roman"/>
          <w:sz w:val="24"/>
          <w:szCs w:val="20"/>
          <w:lang w:eastAsia="zh-CN"/>
        </w:rPr>
        <w:t>；</w:t>
      </w:r>
    </w:p>
    <w:p>
      <w:pPr>
        <w:spacing w:line="360" w:lineRule="auto"/>
        <w:ind w:firstLine="435"/>
        <w:rPr>
          <w:rFonts w:hint="eastAsia" w:ascii="Times New Roman" w:hAnsi="Times New Roman" w:eastAsia="宋体" w:cs="Times New Roman"/>
          <w:sz w:val="24"/>
          <w:szCs w:val="20"/>
          <w:lang w:eastAsia="zh-CN"/>
        </w:rPr>
      </w:pPr>
      <w:r>
        <w:rPr>
          <w:rFonts w:hint="eastAsia" w:ascii="Times New Roman" w:hAnsi="Times New Roman" w:eastAsia="宋体" w:cs="Times New Roman"/>
          <w:sz w:val="24"/>
          <w:szCs w:val="20"/>
        </w:rPr>
        <w:t>③设计碳金融产品、碳金融衍生产品并解决其定价问题</w:t>
      </w:r>
      <w:r>
        <w:rPr>
          <w:rFonts w:hint="eastAsia" w:ascii="Times New Roman" w:hAnsi="Times New Roman" w:cs="Times New Roman"/>
          <w:sz w:val="24"/>
          <w:szCs w:val="20"/>
          <w:lang w:eastAsia="zh-CN"/>
        </w:rPr>
        <w:t>；</w:t>
      </w:r>
    </w:p>
    <w:p>
      <w:pPr>
        <w:spacing w:line="360" w:lineRule="auto"/>
        <w:ind w:firstLine="435"/>
        <w:rPr>
          <w:rFonts w:hint="eastAsia" w:ascii="Times New Roman" w:hAnsi="Times New Roman" w:eastAsia="宋体" w:cs="Times New Roman"/>
          <w:sz w:val="24"/>
          <w:szCs w:val="20"/>
          <w:lang w:eastAsia="zh-CN"/>
        </w:rPr>
      </w:pPr>
      <w:r>
        <w:rPr>
          <w:rFonts w:hint="eastAsia" w:ascii="Times New Roman" w:hAnsi="Times New Roman" w:eastAsia="宋体" w:cs="Times New Roman"/>
          <w:sz w:val="24"/>
          <w:szCs w:val="20"/>
        </w:rPr>
        <w:t>④面向“双碳”目标的财税金融政策体系评估</w:t>
      </w:r>
      <w:r>
        <w:rPr>
          <w:rFonts w:hint="eastAsia" w:ascii="Times New Roman" w:hAnsi="Times New Roman" w:cs="Times New Roman"/>
          <w:sz w:val="24"/>
          <w:szCs w:val="20"/>
          <w:lang w:eastAsia="zh-CN"/>
        </w:rPr>
        <w:t>。</w:t>
      </w:r>
    </w:p>
    <w:p>
      <w:pPr>
        <w:pStyle w:val="6"/>
        <w:numPr>
          <w:ilvl w:val="0"/>
          <w:numId w:val="0"/>
        </w:numPr>
        <w:ind w:left="210" w:leftChars="0"/>
        <w:rPr>
          <w:rFonts w:ascii="Times New Roman" w:hAnsi="Times New Roman" w:eastAsia="宋体" w:cs="Times New Roman"/>
          <w:b/>
          <w:sz w:val="24"/>
          <w:szCs w:val="18"/>
        </w:rPr>
      </w:pPr>
      <w:r>
        <w:rPr>
          <w:rFonts w:hint="eastAsia" w:ascii="Times New Roman" w:hAnsi="Times New Roman" w:eastAsia="宋体" w:cs="Times New Roman"/>
          <w:b/>
          <w:sz w:val="24"/>
          <w:szCs w:val="18"/>
          <w:lang w:val="en-US" w:eastAsia="zh-CN"/>
        </w:rPr>
        <w:t>二、</w:t>
      </w:r>
      <w:r>
        <w:rPr>
          <w:rFonts w:hint="eastAsia" w:ascii="Times New Roman" w:hAnsi="Times New Roman" w:eastAsia="宋体" w:cs="Times New Roman"/>
          <w:b/>
          <w:sz w:val="24"/>
          <w:szCs w:val="18"/>
        </w:rPr>
        <w:t>货物需求</w:t>
      </w:r>
    </w:p>
    <w:tbl>
      <w:tblPr>
        <w:tblStyle w:val="15"/>
        <w:tblpPr w:leftFromText="180" w:rightFromText="180" w:vertAnchor="text" w:horzAnchor="page" w:tblpX="624" w:tblpY="462"/>
        <w:tblOverlap w:val="never"/>
        <w:tblW w:w="105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726"/>
        <w:gridCol w:w="5939"/>
        <w:gridCol w:w="755"/>
        <w:gridCol w:w="705"/>
        <w:gridCol w:w="726"/>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95" w:type="dxa"/>
            <w:tcBorders>
              <w:tl2br w:val="nil"/>
              <w:tr2bl w:val="nil"/>
            </w:tcBorders>
            <w:noWrap w:val="0"/>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b/>
                <w:bCs/>
                <w:kern w:val="0"/>
                <w:sz w:val="24"/>
                <w:szCs w:val="24"/>
              </w:rPr>
              <w:t>序号</w:t>
            </w:r>
          </w:p>
        </w:tc>
        <w:tc>
          <w:tcPr>
            <w:tcW w:w="726" w:type="dxa"/>
            <w:tcBorders>
              <w:tl2br w:val="nil"/>
              <w:tr2bl w:val="nil"/>
            </w:tcBorders>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货物</w:t>
            </w:r>
          </w:p>
          <w:p>
            <w:pPr>
              <w:spacing w:line="400" w:lineRule="exact"/>
              <w:jc w:val="center"/>
              <w:rPr>
                <w:rFonts w:hint="eastAsia" w:ascii="宋体" w:hAnsi="宋体" w:eastAsia="宋体" w:cs="宋体"/>
                <w:color w:val="000000"/>
                <w:sz w:val="24"/>
                <w:szCs w:val="24"/>
              </w:rPr>
            </w:pPr>
            <w:r>
              <w:rPr>
                <w:rFonts w:hint="eastAsia" w:ascii="宋体" w:hAnsi="宋体" w:eastAsia="宋体" w:cs="宋体"/>
                <w:b/>
                <w:sz w:val="24"/>
                <w:szCs w:val="24"/>
              </w:rPr>
              <w:t>名称</w:t>
            </w:r>
          </w:p>
        </w:tc>
        <w:tc>
          <w:tcPr>
            <w:tcW w:w="5939" w:type="dxa"/>
            <w:tcBorders>
              <w:tl2br w:val="nil"/>
              <w:tr2bl w:val="nil"/>
            </w:tcBorders>
            <w:noWrap w:val="0"/>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b/>
                <w:sz w:val="24"/>
                <w:szCs w:val="24"/>
              </w:rPr>
              <w:t>技术参数及要求</w:t>
            </w:r>
          </w:p>
        </w:tc>
        <w:tc>
          <w:tcPr>
            <w:tcW w:w="755" w:type="dxa"/>
            <w:tcBorders>
              <w:tl2br w:val="nil"/>
              <w:tr2bl w:val="nil"/>
            </w:tcBorders>
            <w:noWrap w:val="0"/>
            <w:vAlign w:val="center"/>
          </w:tcPr>
          <w:p>
            <w:pPr>
              <w:spacing w:line="400" w:lineRule="exact"/>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单位</w:t>
            </w:r>
          </w:p>
        </w:tc>
        <w:tc>
          <w:tcPr>
            <w:tcW w:w="705" w:type="dxa"/>
            <w:tcBorders>
              <w:tl2br w:val="nil"/>
              <w:tr2bl w:val="nil"/>
            </w:tcBorders>
            <w:noWrap w:val="0"/>
            <w:vAlign w:val="center"/>
          </w:tcPr>
          <w:p>
            <w:pPr>
              <w:spacing w:line="400" w:lineRule="exact"/>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数量</w:t>
            </w:r>
          </w:p>
        </w:tc>
        <w:tc>
          <w:tcPr>
            <w:tcW w:w="726" w:type="dxa"/>
            <w:tcBorders>
              <w:tl2br w:val="nil"/>
              <w:tr2bl w:val="nil"/>
            </w:tcBorders>
            <w:noWrap w:val="0"/>
            <w:vAlign w:val="top"/>
          </w:tcPr>
          <w:p>
            <w:pPr>
              <w:spacing w:line="400" w:lineRule="exact"/>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所属行业</w:t>
            </w:r>
          </w:p>
        </w:tc>
        <w:tc>
          <w:tcPr>
            <w:tcW w:w="916" w:type="dxa"/>
            <w:tcBorders>
              <w:tl2br w:val="nil"/>
              <w:tr2bl w:val="nil"/>
            </w:tcBorders>
            <w:noWrap w:val="0"/>
            <w:vAlign w:val="top"/>
          </w:tcPr>
          <w:p>
            <w:pPr>
              <w:spacing w:line="400" w:lineRule="exact"/>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高性能工作站</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机型：台式工作站</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★2、主板：</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不低于Intel 670以上芯片组</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 xml:space="preserve">CPU: </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不低于第12代intel I7-12700</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内存：≥32G DDR4 DIMM，≥2个独立内存插槽，系统支持64G及以上</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硬盘：≥512G M.2SSD硬盘，可扩展机械硬盘，支持SMART故障前预警及NCQ全速队列命令高速传输技术</w:t>
            </w:r>
            <w:r>
              <w:rPr>
                <w:rFonts w:hint="eastAsia" w:ascii="宋体" w:hAnsi="宋体" w:eastAsia="宋体" w:cs="宋体"/>
                <w:color w:val="000000"/>
                <w:sz w:val="24"/>
                <w:szCs w:val="24"/>
                <w:lang w:eastAsia="zh-CN"/>
              </w:rPr>
              <w:t>；</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投标文件中</w:t>
            </w:r>
            <w:r>
              <w:rPr>
                <w:rFonts w:hint="eastAsia" w:ascii="宋体" w:hAnsi="宋体" w:eastAsia="宋体" w:cs="宋体"/>
                <w:b/>
                <w:bCs/>
                <w:color w:val="000000"/>
                <w:sz w:val="24"/>
                <w:szCs w:val="24"/>
              </w:rPr>
              <w:t>提供相关技术说明书或彩页）</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显卡：≥4G独立显卡，可支持三屏拓展</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声卡：集成高清音频声卡</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网卡：主板集成千兆及以上网卡</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9</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键盘鼠标显示器：USB抗菌键盘鼠标，</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块</w:t>
            </w:r>
            <w:r>
              <w:rPr>
                <w:rFonts w:hint="eastAsia" w:ascii="宋体" w:hAnsi="宋体" w:eastAsia="宋体" w:cs="宋体"/>
                <w:color w:val="000000"/>
                <w:sz w:val="24"/>
                <w:szCs w:val="24"/>
                <w:lang w:val="en-US" w:eastAsia="zh-CN"/>
              </w:rPr>
              <w:t>均不小于</w:t>
            </w:r>
            <w:r>
              <w:rPr>
                <w:rFonts w:hint="eastAsia" w:ascii="宋体" w:hAnsi="宋体" w:eastAsia="宋体" w:cs="宋体"/>
                <w:color w:val="000000"/>
                <w:sz w:val="24"/>
                <w:szCs w:val="24"/>
              </w:rPr>
              <w:t>21寸显示器</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机箱：15L以上塔式机箱，免工具拆卸机箱</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11</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电源：≥350W稳定性电源</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★12</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接口插槽：不少于8个USB接口，其中前置不少于6个USB3.2接口，1个HDMI,1个VGA,1个串口；主板自带1个PCI插槽；1个PCIex1 插槽；1个PCIex16插槽； 2个M.2插槽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13</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系统要求：出厂预装正版Windows11操作系统及以上；</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★14</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随机应用：出厂自带BIOS版还原卡，支持系统自动还原、同时支持GPT分区和MBR分区、自动修改IP和计算机名、硬盘保护、网络同传、增量拷贝、断点续传、远程唤醒、远程重启、远程锁定、远程关机、支持传输中对数据进行AES 256Bit加密、千兆网络传输速度最大可以达到6.5GB/分钟或以上（百兆网络平均传输速度&gt;1GB/分钟）、支持多硬盘、可以从底层控制U盘和光驱等设备的使用，支持任意机器作为主机对整个网络环境下电脑进行维护，支持DHCP网传环境传输，支持不同的系统分配不同的IP，禁止USB或者光驱启动，支持网络传输故障定位</w:t>
            </w:r>
            <w:r>
              <w:rPr>
                <w:rFonts w:hint="eastAsia" w:ascii="宋体" w:hAnsi="宋体" w:eastAsia="宋体" w:cs="宋体"/>
                <w:color w:val="000000"/>
                <w:sz w:val="24"/>
                <w:szCs w:val="24"/>
                <w:lang w:eastAsia="zh-CN"/>
              </w:rPr>
              <w:t>；</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投标文件中</w:t>
            </w:r>
            <w:r>
              <w:rPr>
                <w:rFonts w:hint="eastAsia" w:ascii="宋体" w:hAnsi="宋体" w:eastAsia="宋体" w:cs="宋体"/>
                <w:b/>
                <w:bCs/>
                <w:color w:val="000000"/>
                <w:sz w:val="24"/>
                <w:szCs w:val="24"/>
              </w:rPr>
              <w:t>提供以上功能技术证明资料或技术彩页）</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15</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质保要求：整机（含显示器）原厂三年有限保修及上门服务</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p>
        </w:tc>
        <w:tc>
          <w:tcPr>
            <w:tcW w:w="726" w:type="dxa"/>
            <w:tcBorders>
              <w:tl2br w:val="nil"/>
              <w:tr2bl w:val="nil"/>
            </w:tcBorders>
            <w:noWrap w:val="0"/>
            <w:vAlign w:val="center"/>
          </w:tcPr>
          <w:p>
            <w:pPr>
              <w:spacing w:beforeLines="0" w:afterLines="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双屏台式计算机</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机型：台式计算机</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★2、主板：</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不低于Intel 670芯片组</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 xml:space="preserve">CPU: </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不低于第12代intel I5-12500</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内存：≥16G DDR4 DIMM，≥2个独立内存插槽，≥系统最多支持64G</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硬盘：≥256G M.2 SSD硬盘，支持机械硬盘扩展，支持SMART故障前预警及NCQ全速队列命令高速传输技术</w:t>
            </w:r>
            <w:r>
              <w:rPr>
                <w:rFonts w:hint="eastAsia" w:ascii="宋体" w:hAnsi="宋体" w:eastAsia="宋体" w:cs="宋体"/>
                <w:color w:val="000000"/>
                <w:sz w:val="24"/>
                <w:szCs w:val="24"/>
                <w:lang w:eastAsia="zh-CN"/>
              </w:rPr>
              <w:t>；</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投标文件中</w:t>
            </w:r>
            <w:r>
              <w:rPr>
                <w:rFonts w:hint="eastAsia" w:ascii="宋体" w:hAnsi="宋体" w:eastAsia="宋体" w:cs="宋体"/>
                <w:b/>
                <w:bCs/>
                <w:color w:val="000000"/>
                <w:sz w:val="24"/>
                <w:szCs w:val="24"/>
              </w:rPr>
              <w:t>提供相关技术说明书或彩页）</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显卡：高性能核心显卡，支持双屏扩展</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声卡：集成高清音频声卡</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网卡：主板集成千兆及以上网卡</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9</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键盘鼠标显示器：USB抗菌键盘鼠标，</w:t>
            </w:r>
            <w:r>
              <w:rPr>
                <w:rFonts w:hint="eastAsia" w:ascii="宋体" w:hAnsi="宋体" w:eastAsia="宋体" w:cs="宋体"/>
                <w:color w:val="000000"/>
                <w:sz w:val="24"/>
                <w:szCs w:val="24"/>
                <w:lang w:val="en-US" w:eastAsia="zh-CN"/>
              </w:rPr>
              <w:t>双屏不小于均28</w:t>
            </w:r>
            <w:r>
              <w:rPr>
                <w:rFonts w:hint="eastAsia" w:ascii="宋体" w:hAnsi="宋体" w:eastAsia="宋体" w:cs="宋体"/>
                <w:color w:val="000000"/>
                <w:sz w:val="24"/>
                <w:szCs w:val="24"/>
              </w:rPr>
              <w:t>寸</w:t>
            </w:r>
            <w:r>
              <w:rPr>
                <w:rFonts w:hint="eastAsia" w:ascii="宋体" w:hAnsi="宋体" w:eastAsia="宋体" w:cs="宋体"/>
                <w:color w:val="000000"/>
                <w:sz w:val="24"/>
                <w:szCs w:val="24"/>
                <w:lang w:val="en-US" w:eastAsia="zh-CN"/>
              </w:rPr>
              <w:t>高清</w:t>
            </w:r>
            <w:r>
              <w:rPr>
                <w:rFonts w:hint="eastAsia" w:ascii="宋体" w:hAnsi="宋体" w:eastAsia="宋体" w:cs="宋体"/>
                <w:color w:val="000000"/>
                <w:sz w:val="24"/>
                <w:szCs w:val="24"/>
              </w:rPr>
              <w:t>显示器</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机箱：15L以上塔式机箱，免工具拆卸机箱</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11、电源：≥350W稳定性电源</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★12</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接口插槽：不少于8个USB接口，其中前置不少于6个USB3.2接口，1个HDMI,1个VGA,1个串口；主板自带 1个PCI插槽；1个PCIex1插槽；1个PCIex16插槽；2个M.2插槽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13</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系统要求：出厂预装正版Windows11操作系统及以上；</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★14</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sz w:val="24"/>
                <w:szCs w:val="24"/>
              </w:rPr>
              <w:t>随机应用：出厂自带BIOS版还原卡，支持系统自动还原、同时支持GPT分区和MBR分区、自动修改IP和计算机名、硬盘保护、网络同传、增量拷贝、断点续传、远程唤醒、远程重启、远程锁定、远程关机、支持传输中对数据进行AES 256Bit加密、千兆网络传输速度最大可以达到6.5GB/分钟或以上（百兆网络平均传输速度&gt;1GB/分钟）、支持多硬盘、可以从底层控制U盘和光驱等设备的使用，支持任意机器作为主机对整个网络环境下电脑进行维护，支持DHCP网传环境传输，支持不同的系统分配不同的IP，禁止USB或者光驱启动，支持网络传输故障定位</w:t>
            </w:r>
            <w:r>
              <w:rPr>
                <w:rFonts w:hint="eastAsia" w:ascii="宋体" w:hAnsi="宋体" w:eastAsia="宋体" w:cs="宋体"/>
                <w:color w:val="000000"/>
                <w:sz w:val="24"/>
                <w:szCs w:val="24"/>
                <w:lang w:eastAsia="zh-CN"/>
              </w:rPr>
              <w:t>；</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投标文件</w:t>
            </w:r>
            <w:r>
              <w:rPr>
                <w:rFonts w:hint="eastAsia" w:ascii="宋体" w:hAnsi="宋体" w:eastAsia="宋体" w:cs="宋体"/>
                <w:b/>
                <w:bCs/>
                <w:color w:val="000000"/>
                <w:sz w:val="24"/>
                <w:szCs w:val="24"/>
              </w:rPr>
              <w:t>提供以上功能技术证明资料或技术彩页）</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15、质保要求：整机（含显示器）原厂三年有限保修及上门服务</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pStyle w:val="7"/>
              <w:rPr>
                <w:rFonts w:hint="default" w:eastAsia="宋体"/>
                <w:lang w:val="en-US" w:eastAsia="zh-CN"/>
              </w:rPr>
            </w:pPr>
            <w:r>
              <w:rPr>
                <w:rFonts w:hint="eastAsia"/>
                <w:lang w:val="en-US" w:eastAsia="zh-CN"/>
              </w:rPr>
              <w:t>政府采购强制节能产品</w:t>
            </w:r>
          </w:p>
          <w:p>
            <w:pPr>
              <w:spacing w:beforeLines="0" w:afterLines="0"/>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服务器</w:t>
            </w:r>
          </w:p>
        </w:tc>
        <w:tc>
          <w:tcPr>
            <w:tcW w:w="5939" w:type="dxa"/>
            <w:tcBorders>
              <w:tl2br w:val="nil"/>
              <w:tr2bl w:val="nil"/>
            </w:tcBorders>
            <w:noWrap w:val="0"/>
            <w:vAlign w:val="top"/>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1.机型：4U机架式服务器</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★2.处理器：配置不少于4颗</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w:t>
            </w:r>
            <w:r>
              <w:rPr>
                <w:rFonts w:hint="eastAsia" w:ascii="宋体" w:hAnsi="宋体" w:eastAsia="宋体" w:cs="宋体"/>
                <w:color w:val="000000"/>
                <w:kern w:val="0"/>
                <w:sz w:val="24"/>
                <w:szCs w:val="24"/>
                <w:lang w:val="en-US" w:eastAsia="zh-CN" w:bidi="ar"/>
              </w:rPr>
              <w:t xml:space="preserve">至强Xeon5320处理器；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★3.内存:配置</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w:t>
            </w:r>
            <w:r>
              <w:rPr>
                <w:rFonts w:hint="eastAsia" w:ascii="宋体" w:hAnsi="宋体" w:eastAsia="宋体" w:cs="宋体"/>
                <w:color w:val="000000"/>
                <w:kern w:val="0"/>
                <w:sz w:val="24"/>
                <w:szCs w:val="24"/>
                <w:lang w:val="en-US" w:eastAsia="zh-CN" w:bidi="ar"/>
              </w:rPr>
              <w:t>256GB DDR4 ECC REG 2133 内存，</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24根内存插槽，内存容量</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 xml:space="preserve">1.5TB，支持NV DIMM，可实现内存数据掉电保护功能；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4.网络:配置与服务器同品牌千兆以太网卡，提供不少于4个千兆网口，支持网卡冗余功能，支持网络唤醒功能；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5.存储控制器：配置与服务器同品牌 SAS RAID 控制器，</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 xml:space="preserve">2GB缓存，可实现 Raid 0，1，10，5，50；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6.硬盘:配置</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24块8TB 3.5 吋7.2K 6Gb SATA硬盘，</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2块240G 2.5 6Gb R SSD硬盘，支持</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36块2.5寸或3.5寸SAS/SATA/SSD硬盘，可选后置</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lang w:val="en-US" w:eastAsia="zh-CN" w:bidi="ar"/>
              </w:rPr>
              <w:t>4个2.5寸硬盘；</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7.管理功能：支持IPMI2.0和KVM Over IP功能，独立管理网口；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8.电源：配置1200W冗余白金电源，1+1冗余；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9.扩展槽位：最大支持8个 PCI-E 插槽；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10.高级功能：支持原厂主机加固系统软件，支持原厂智能导航软件，支持原厂能耗管理软件，支持原厂安全防护软件，支持原厂时间同步型动态认证密钥（水晶外壳，防暴力破解，免接触式，无 USB 接口）； </w:t>
            </w:r>
          </w:p>
          <w:p>
            <w:pPr>
              <w:widowControl/>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11.服务：提供原厂5年质保。</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大屏一体机</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1.整机采用一体设计，外部无任何可见内部功能模块连接线，整机采用全金属外壳设计，边角采用弧形设计，表面无尖锐边缘或凸起</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自带活动支架</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2.整机屏幕液晶显示器≥86英寸，整机采用UHD超高清LED液晶屏，显示比例16:9，分辨率≥3840×2160，嵌入式系统版本不低于Android 9.0，内存≥2GB，存储空间≥8GB，玻璃厚度≤4mm，玻璃表面硬度≥9H，内置电脑，系统cpu</w:t>
            </w:r>
            <w:r>
              <w:rPr>
                <w:rFonts w:hint="eastAsia" w:ascii="宋体" w:hAnsi="宋体" w:eastAsia="宋体" w:cs="宋体"/>
                <w:color w:val="000000"/>
                <w:sz w:val="24"/>
                <w:szCs w:val="24"/>
                <w:lang w:val="en-US" w:eastAsia="zh-CN"/>
              </w:rPr>
              <w:t>性能</w:t>
            </w:r>
            <w:r>
              <w:rPr>
                <w:rFonts w:hint="eastAsia" w:ascii="宋体" w:hAnsi="宋体" w:eastAsia="宋体" w:cs="宋体"/>
                <w:color w:val="000000"/>
                <w:sz w:val="24"/>
                <w:szCs w:val="24"/>
              </w:rPr>
              <w:t>不低于I5</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3.支持红外触控，支持Windows系统中进行</w:t>
            </w:r>
            <w:r>
              <w:rPr>
                <w:rFonts w:hint="eastAsia" w:ascii="宋体" w:hAnsi="宋体" w:eastAsia="宋体" w:cs="宋体"/>
                <w:color w:val="000000"/>
                <w:sz w:val="24"/>
                <w:szCs w:val="24"/>
                <w:lang w:val="en-US" w:eastAsia="zh-CN"/>
              </w:rPr>
              <w:t>不少于</w:t>
            </w:r>
            <w:r>
              <w:rPr>
                <w:rFonts w:hint="eastAsia" w:ascii="宋体" w:hAnsi="宋体" w:eastAsia="宋体" w:cs="宋体"/>
                <w:color w:val="000000"/>
                <w:sz w:val="24"/>
                <w:szCs w:val="24"/>
              </w:rPr>
              <w:t>20点触控，安卓系统中进行</w:t>
            </w:r>
            <w:r>
              <w:rPr>
                <w:rFonts w:hint="eastAsia" w:ascii="宋体" w:hAnsi="宋体" w:eastAsia="宋体" w:cs="宋体"/>
                <w:color w:val="000000"/>
                <w:sz w:val="24"/>
                <w:szCs w:val="24"/>
                <w:lang w:val="en-US" w:eastAsia="zh-CN"/>
              </w:rPr>
              <w:t>不少于</w:t>
            </w:r>
            <w:r>
              <w:rPr>
                <w:rFonts w:hint="eastAsia" w:ascii="宋体" w:hAnsi="宋体" w:eastAsia="宋体" w:cs="宋体"/>
                <w:color w:val="000000"/>
                <w:sz w:val="24"/>
                <w:szCs w:val="24"/>
              </w:rPr>
              <w:t>10点触控，支持红外笔书写</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★4.整机能感应并自动调节屏幕亮度来达到在不同光照环境下的不同亮度显示效果，此功能可自行开启或关闭</w:t>
            </w:r>
            <w:r>
              <w:rPr>
                <w:rFonts w:hint="eastAsia" w:ascii="宋体" w:hAnsi="宋体" w:eastAsia="宋体" w:cs="宋体"/>
                <w:color w:val="000000"/>
                <w:sz w:val="24"/>
                <w:szCs w:val="24"/>
                <w:lang w:eastAsia="zh-CN"/>
              </w:rPr>
              <w:t>；</w:t>
            </w:r>
            <w:r>
              <w:rPr>
                <w:rFonts w:hint="eastAsia" w:ascii="宋体" w:hAnsi="宋体" w:eastAsia="宋体" w:cs="宋体"/>
                <w:b/>
                <w:bCs/>
                <w:color w:val="000000"/>
                <w:sz w:val="24"/>
                <w:szCs w:val="24"/>
              </w:rPr>
              <w:t>（</w:t>
            </w:r>
            <w:r>
              <w:rPr>
                <w:rFonts w:hint="eastAsia" w:ascii="宋体" w:hAnsi="宋体" w:eastAsia="宋体" w:cs="宋体"/>
                <w:b/>
                <w:bCs/>
                <w:i w:val="0"/>
                <w:iCs w:val="0"/>
                <w:caps w:val="0"/>
                <w:color w:val="000000"/>
                <w:spacing w:val="0"/>
                <w:sz w:val="24"/>
                <w:szCs w:val="24"/>
                <w:shd w:val="clear" w:color="auto" w:fill="auto"/>
                <w:lang w:val="en-US" w:eastAsia="zh-CN"/>
              </w:rPr>
              <w:t>投标文件中</w:t>
            </w:r>
            <w:r>
              <w:rPr>
                <w:rFonts w:hint="eastAsia" w:ascii="宋体" w:hAnsi="宋体" w:eastAsia="宋体" w:cs="宋体"/>
                <w:b/>
                <w:bCs/>
                <w:color w:val="000000"/>
                <w:sz w:val="24"/>
                <w:szCs w:val="24"/>
              </w:rPr>
              <w:t>提供</w:t>
            </w:r>
            <w:r>
              <w:rPr>
                <w:rFonts w:hint="eastAsia" w:ascii="宋体" w:hAnsi="宋体" w:eastAsia="宋体" w:cs="宋体"/>
                <w:b/>
                <w:bCs/>
                <w:color w:val="000000"/>
                <w:sz w:val="24"/>
                <w:szCs w:val="24"/>
                <w:lang w:val="en-US" w:eastAsia="zh-CN"/>
              </w:rPr>
              <w:t>第三方有权机构</w:t>
            </w:r>
            <w:r>
              <w:rPr>
                <w:rFonts w:hint="eastAsia" w:ascii="宋体" w:hAnsi="宋体" w:eastAsia="宋体" w:cs="宋体"/>
                <w:b/>
                <w:bCs/>
                <w:color w:val="000000"/>
                <w:sz w:val="24"/>
                <w:szCs w:val="24"/>
              </w:rPr>
              <w:t>出具的检测报告</w:t>
            </w:r>
            <w:r>
              <w:rPr>
                <w:rFonts w:hint="eastAsia" w:ascii="宋体" w:hAnsi="宋体" w:eastAsia="宋体" w:cs="宋体"/>
                <w:b/>
                <w:bCs/>
                <w:color w:val="000000"/>
                <w:sz w:val="24"/>
                <w:szCs w:val="24"/>
                <w:lang w:val="en-US" w:eastAsia="zh-CN"/>
              </w:rPr>
              <w:t>扫描件</w:t>
            </w:r>
            <w:r>
              <w:rPr>
                <w:rFonts w:hint="eastAsia" w:ascii="宋体" w:hAnsi="宋体" w:eastAsia="宋体" w:cs="宋体"/>
                <w:b/>
                <w:bCs/>
                <w:color w:val="000000"/>
                <w:sz w:val="24"/>
                <w:szCs w:val="24"/>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5.整机内置2.1声道扬声器，前朝向15W中高音扬声器 ≥2个，后朝向20W低音扬声器≥1个，额定总功率50W</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6.具备远程视频会议功能。</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交换机</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1、固化千兆电口≥48个，独立千兆SFP光口≥4个；Console口≥1个，Manage口≥1个</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2、支持全线速转发，交换容量≥336Gbps/3.36Tbps，包转发率≥96Mpps/126Mpps；</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6</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无线AP</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1.支持802.11ac wave2协议，射频最大传输速率≥1733Mbps，整机最大传输速率≥3Gbps，支持创新的三频设计，支持第三个射频，支持2.4G、5G、5G三频并发； </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2.千兆以太网口≥2个，并需提供1个RJ-45 Console管理口，USB接口≥1个，支持外接U盘以及物联网应用扩展</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7</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二分频全频主音箱</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1.倒相式低频辐射的二分频全频系统</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.表面黑色大斑点水性油漆喷涂处理木箱，有孔金属网背贴声学透声棉</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.单元配置，多个吊挂孔设置，可悬挂安装</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.性能规格：</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驱动单元 LF12"×1 HF1.75"×1</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频率响应 55Hz-18kHz</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灵敏度 98±2dB</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最大声压级 123±2dB</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额定阻抗 8Ω</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额定功率 350W</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指向性（H×V）90°×40°</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尺寸(高×宽×深)</w:t>
            </w:r>
            <w:r>
              <w:rPr>
                <w:rFonts w:hint="eastAsia" w:ascii="宋体" w:hAnsi="宋体" w:eastAsia="宋体" w:cs="宋体"/>
                <w:color w:val="000000"/>
                <w:sz w:val="24"/>
                <w:szCs w:val="24"/>
                <w:lang w:val="en-US" w:eastAsia="zh-CN"/>
              </w:rPr>
              <w:t>约=</w:t>
            </w:r>
            <w:r>
              <w:rPr>
                <w:rFonts w:hint="eastAsia" w:ascii="宋体" w:hAnsi="宋体" w:eastAsia="宋体" w:cs="宋体"/>
                <w:color w:val="000000"/>
                <w:sz w:val="24"/>
                <w:szCs w:val="24"/>
              </w:rPr>
              <w:t>601mm×364mm×385mm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重量</w:t>
            </w:r>
            <w:r>
              <w:rPr>
                <w:rFonts w:hint="eastAsia" w:ascii="宋体" w:hAnsi="宋体" w:eastAsia="宋体" w:cs="宋体"/>
                <w:color w:val="000000"/>
                <w:sz w:val="24"/>
                <w:szCs w:val="24"/>
                <w:lang w:val="en-US" w:eastAsia="zh-CN"/>
              </w:rPr>
              <w:t>约=</w:t>
            </w:r>
            <w:r>
              <w:rPr>
                <w:rFonts w:hint="eastAsia" w:ascii="宋体" w:hAnsi="宋体" w:eastAsia="宋体" w:cs="宋体"/>
                <w:color w:val="000000"/>
                <w:sz w:val="24"/>
                <w:szCs w:val="24"/>
              </w:rPr>
              <w:t xml:space="preserve"> 23kg</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8</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专业立体声主功放</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1.双声道立体声功率放大器；</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.至少有双声道、单声道两种输出方式供选择，每声道音量单独可调；</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.配备LED工作状态指示，低噪声；</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.性能规格：</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额定输出/单声道，≥300W；</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额定输出/单声道，≥300W；</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信噪比：≥50dB</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9</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真分集无线话筒（双手持）</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1.波段范围（UHF）：632MHz～695MHz；</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2.PLL双频道锁相环回路设计；</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3.UHF200频道PLL数字锁定自动通讯功能；</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4.显示屏显示功能(显示频率、频道、静噪、电平等)；</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5.每通道有音量调节功能；</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6.AF输出（插座分别输出，混合输出）；</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7.发射功率调节，高功率14dBm; 低功率6dBm；</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8.发射机采用2节5号1.5V碱性电池；</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9.动态范围：88dB；</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10.最大频偏：±45KHz；</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11.频率响应：120Hz-16KHz(±3dB)；</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12.综合信噪比：&gt;73dB；</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13.综合失真度：≤1%；</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14.发射机工作时间8小时以上；</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15.含1台一拖二接收机及2只手持式话筒（或两只手持式话筒）</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电源时序器</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1.独立的八路大功率电源输出，万能插座，可满足多种三极的电源插座，如国标插座等；</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.八路通道开关状态可由面板控制操作和显示；通过面板一键开关，可时序关启通道，实现时序功能；</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.开机时由前级到后级按顺序逐个启动各类设备，关机时由后级到前级逐个关闭各个设备，有效的统一管理控制用电设备，确保整个系统的稳定运行；</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cs="宋体"/>
                <w:color w:val="000000"/>
                <w:sz w:val="24"/>
                <w:szCs w:val="24"/>
                <w:lang w:val="en-US" w:eastAsia="zh-CN"/>
              </w:rPr>
              <w:t>=</w:t>
            </w:r>
            <w:r>
              <w:rPr>
                <w:rFonts w:hint="eastAsia" w:ascii="宋体" w:hAnsi="宋体" w:eastAsia="宋体" w:cs="宋体"/>
                <w:color w:val="000000"/>
                <w:sz w:val="24"/>
                <w:szCs w:val="24"/>
              </w:rPr>
              <w:t>.可广泛用于多媒体教室、多功能厅、会议室、投影拼接、视频会议、监控中心、楼宇控制、管理指挥中心等领域。</w:t>
            </w:r>
          </w:p>
          <w:p>
            <w:pPr>
              <w:spacing w:beforeLines="0" w:afterLines="0"/>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.性能规格：电源输出：≥8路，万能插座</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模拟调音台</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1.8路XLR平衡单声通道输入、超低噪音线路设计，动态余量大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.每通道带3段均衡调节，MUTE静音开关，60MM平滑推子衰减器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 xml:space="preserve">.1组立体声母线输出+2组AUX母线输出（包括FX)。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.1组返回，1组RAC输出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.内置48V幻象电源供电</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6</w:t>
            </w:r>
            <w:r>
              <w:rPr>
                <w:rFonts w:hint="eastAsia" w:ascii="宋体" w:hAnsi="宋体" w:eastAsia="宋体" w:cs="宋体"/>
                <w:color w:val="000000"/>
                <w:sz w:val="24"/>
                <w:szCs w:val="24"/>
              </w:rPr>
              <w:t>.内置16种DSP数字效果器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.USB音频播放MP3;USB录音</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8</w:t>
            </w:r>
            <w:r>
              <w:rPr>
                <w:rFonts w:hint="eastAsia" w:ascii="宋体" w:hAnsi="宋体" w:eastAsia="宋体" w:cs="宋体"/>
                <w:color w:val="000000"/>
                <w:sz w:val="24"/>
                <w:szCs w:val="24"/>
              </w:rPr>
              <w:t>.自带蓝牙播放MP3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9</w:t>
            </w:r>
            <w:r>
              <w:rPr>
                <w:rFonts w:hint="eastAsia" w:ascii="宋体" w:hAnsi="宋体" w:eastAsia="宋体" w:cs="宋体"/>
                <w:color w:val="000000"/>
                <w:sz w:val="24"/>
                <w:szCs w:val="24"/>
              </w:rPr>
              <w:t>.LED显示屏清淅显示播放状态</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.十段三色电平灯显示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.供电电压功率30瓦</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数字音频处理器</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1.8路平衡式话筒／线路输入，采用裸线接口端子</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2.8路平衡式输出，采用裸线接口端子</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3.120db的A/D与D/A转换，最高可达96kHz/48K采样率；</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4.通道拷贝、粘贴、联控功能；</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5.全功能矩阵混音功能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6.内置自动混音台功能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7.AEC自适应回声消除功能，可以处理超宽带的语音和音频信号；</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8.支持平板界面操作控制</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9.直观、图形化软件控制界面，可工作在WindowsNT4.0／2000／XP/Windows7系统环境下</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自动反馈抑制器</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1.64/128超取样24-bitA/D和D/A转换，高解析度</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2.每个声道12个频道反馈自动搜寻，智能处理</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3.及时方便的缺省处置，完备的反馈抑制性能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4.单点模式自动搜寻并处理和锁定陷波频点，直到手动复位或重新设置</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5.手动模式可设置2×12个滤波器的所有参数，包括频率、Q值等</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6.伺服平衡输入和输出，镀金XLR和TRS端子</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7.每个滤波器均有单点、自动两种模式</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8.两个并行处理块，左右声道可单独或并联调整</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9.24-bit高性能DSP处理器</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10.开关软启动，无冲击声，噪声门功能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11.背光2×16字符LCD显示</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12.2×8LED电平显示，可显示输入或输出电平</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13.采用贴片元件和贴片自动焊接和在线检测工艺</w:t>
            </w:r>
            <w:r>
              <w:rPr>
                <w:rFonts w:hint="eastAsia" w:ascii="宋体" w:hAnsi="宋体" w:eastAsia="宋体" w:cs="宋体"/>
                <w:color w:val="000000"/>
                <w:sz w:val="24"/>
                <w:szCs w:val="24"/>
                <w:lang w:eastAsia="zh-CN"/>
              </w:rPr>
              <w:t>；</w:t>
            </w:r>
          </w:p>
          <w:p>
            <w:pPr>
              <w:spacing w:beforeLines="0" w:afterLines="0"/>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14.</w:t>
            </w:r>
            <w:r>
              <w:rPr>
                <w:rFonts w:hint="eastAsia" w:ascii="宋体" w:hAnsi="宋体" w:eastAsia="宋体" w:cs="宋体"/>
                <w:color w:val="000000"/>
                <w:sz w:val="24"/>
                <w:szCs w:val="24"/>
                <w:lang w:val="en-US" w:eastAsia="zh-CN"/>
              </w:rPr>
              <w:t>具有</w:t>
            </w:r>
            <w:r>
              <w:rPr>
                <w:rFonts w:hint="eastAsia" w:ascii="宋体" w:hAnsi="宋体" w:eastAsia="宋体" w:cs="宋体"/>
                <w:color w:val="000000"/>
                <w:sz w:val="24"/>
                <w:szCs w:val="24"/>
              </w:rPr>
              <w:t>内部供电系统</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超窄拼接屏显示系统</w:t>
            </w:r>
          </w:p>
        </w:tc>
        <w:tc>
          <w:tcPr>
            <w:tcW w:w="5939" w:type="dxa"/>
            <w:tcBorders>
              <w:tl2br w:val="nil"/>
              <w:tr2bl w:val="nil"/>
            </w:tcBorders>
            <w:noWrap w:val="0"/>
            <w:vAlign w:val="top"/>
          </w:tcPr>
          <w:p>
            <w:pPr>
              <w:numPr>
                <w:ilvl w:val="0"/>
                <w:numId w:val="1"/>
              </w:num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尺寸：</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5寸，LG拼接缝隙：0.88mm，分辨率</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：1920*1080P，屏幕亮度</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500 cd/m2，对比度</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4000:1，可视角度：178°（H）/ 178°，单元尺寸</w:t>
            </w:r>
            <w:r>
              <w:rPr>
                <w:rFonts w:hint="eastAsia" w:ascii="宋体" w:hAnsi="宋体" w:eastAsia="宋体" w:cs="宋体"/>
                <w:color w:val="000000"/>
                <w:sz w:val="24"/>
                <w:szCs w:val="24"/>
                <w:lang w:val="en-US" w:eastAsia="zh-CN"/>
              </w:rPr>
              <w:t>约</w:t>
            </w:r>
            <w:r>
              <w:rPr>
                <w:rFonts w:hint="eastAsia" w:ascii="宋体" w:hAnsi="宋体" w:eastAsia="宋体" w:cs="宋体"/>
                <w:color w:val="000000"/>
                <w:sz w:val="24"/>
                <w:szCs w:val="24"/>
              </w:rPr>
              <w:t>：1210.5mm*681.2mm,响应速度</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8ms，色彩饱和度</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92%使用寿命</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80000小时，可实现三屏切换及画中画。</w:t>
            </w:r>
          </w:p>
          <w:p>
            <w:pPr>
              <w:numPr>
                <w:ilvl w:val="0"/>
                <w:numId w:val="0"/>
              </w:num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共计</w:t>
            </w:r>
            <w:r>
              <w:rPr>
                <w:rFonts w:hint="eastAsia" w:ascii="宋体" w:hAnsi="宋体" w:eastAsia="宋体" w:cs="宋体"/>
                <w:color w:val="000000"/>
                <w:sz w:val="24"/>
                <w:szCs w:val="24"/>
                <w:lang w:val="en-US" w:eastAsia="zh-CN"/>
              </w:rPr>
              <w:t>约38</w:t>
            </w:r>
            <w:r>
              <w:rPr>
                <w:rFonts w:hint="eastAsia" w:ascii="宋体" w:hAnsi="宋体" w:eastAsia="宋体" w:cs="宋体"/>
                <w:color w:val="000000"/>
                <w:sz w:val="24"/>
                <w:szCs w:val="24"/>
              </w:rPr>
              <w:t>块屏。</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LED环形全彩跑马屏</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1.点间距离：≤1.86mm</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2.物理密度：≥289050/㎡</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3.发光点颜色:1R1G1B</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4.整体面积：≥</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.12m×0.48m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5.驱动方式：恒流驱动</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6.模组尺寸：(W)320mm×(H)160mm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7.模组平整度：≤0.08mm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8.像素中心距相对偏差：＜1.5%</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9.亮度：≥750CD/㎡</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10.水平视角：≥165°</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11.垂直视角：≥165°</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12.最高对比度：≥8000:1，支持亮度/色度校正</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6</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监控摄像头</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分辨率设置为2560×1440@25fps，分辨力不小于1400TVL</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内置不少于双镜头，靶面尺寸均不低于1/1.8英寸。</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7</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硬盘录像机</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≥2个USB2.0接口、1个USB3.0接口</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1个eSATA接口</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报警IO：16进4出</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软件性能：</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输入带宽≥80M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输出带宽≥256M</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8路H.264、H.265混合接入</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最大支持16×1080P解码</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支持H.265、H.264解码</w:t>
            </w:r>
            <w:r>
              <w:rPr>
                <w:rFonts w:hint="eastAsia" w:ascii="宋体" w:hAnsi="宋体" w:eastAsia="宋体" w:cs="宋体"/>
                <w:color w:val="000000"/>
                <w:sz w:val="24"/>
                <w:szCs w:val="24"/>
                <w:lang w:eastAsia="zh-CN"/>
              </w:rPr>
              <w:t>；</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8</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空调</w:t>
            </w:r>
          </w:p>
        </w:tc>
        <w:tc>
          <w:tcPr>
            <w:tcW w:w="5939" w:type="dxa"/>
            <w:tcBorders>
              <w:tl2br w:val="nil"/>
              <w:tr2bl w:val="nil"/>
            </w:tcBorders>
            <w:noWrap w:val="0"/>
            <w:vAlign w:val="top"/>
          </w:tcPr>
          <w:p>
            <w:pPr>
              <w:numPr>
                <w:ilvl w:val="0"/>
                <w:numId w:val="0"/>
              </w:num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空调匹数≥3P；</w:t>
            </w:r>
          </w:p>
          <w:p>
            <w:pPr>
              <w:numPr>
                <w:ilvl w:val="0"/>
                <w:numId w:val="0"/>
              </w:num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制冷量≥7000W，制热量≥7000W，电辅加热功率≥1000W。</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both"/>
              <w:rPr>
                <w:rFonts w:hint="eastAsia" w:ascii="宋体" w:hAnsi="宋体" w:eastAsia="宋体" w:cs="宋体"/>
                <w:color w:val="000000"/>
                <w:sz w:val="24"/>
                <w:szCs w:val="24"/>
              </w:rPr>
            </w:pPr>
            <w:r>
              <w:rPr>
                <w:rFonts w:hint="eastAsia"/>
                <w:lang w:val="en-US" w:eastAsia="zh-CN"/>
              </w:rPr>
              <w:t>政府采购强制节能产品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9</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机柜</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42U服务器机柜，黑色，前后网门，含2个1U机架式PDU，8位。</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桌椅</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1．桌子尺寸：≥600mm×1250mm，材质：台面采用E1级三聚氰胺实木颗粒板厚度25mm，具有耐酸、耐碱、耐磨、防火等功能；</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封边：采用优质PVC热塑封边；</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粘胶：环保胶粘剂；</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人体工学</w:t>
            </w:r>
            <w:r>
              <w:rPr>
                <w:rFonts w:hint="eastAsia" w:ascii="宋体" w:hAnsi="宋体" w:eastAsia="宋体" w:cs="宋体"/>
                <w:color w:val="000000"/>
                <w:sz w:val="24"/>
                <w:szCs w:val="24"/>
              </w:rPr>
              <w:t>椅子</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尺寸≥570-580mm×1490-500mm×1980-990mm；材质：网布、尼龙面料；内部填充物为45定型棉。</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黑白数码符合机</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A3幅面，打印、复印、扫描一体，有线、无线网络打印，具备用户授权、设备签名、用户签名、文档安全等用户管理功能，4纸盒。</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台</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lang w:val="en-US" w:eastAsia="zh-CN"/>
              </w:rPr>
              <w:t>政府采购强制节能产品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实验室改造</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施工前现场保护(包括电梯间及公共通道，现场公共设施保护，现场消防设施保护），施工过程中成品保护，；配置临时消防器材；驳接临时施工电源；</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lang w:val="en-US" w:eastAsia="zh-CN"/>
              </w:rPr>
              <w:t>间隔工程：</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2.1室内间隔墙体安装轻钢龙骨石膏板隔断墙，连接固定75mmU型龙骨,自攻螺丝钉固定12mm厚纸面石膏板贴面,内衬50mm隔音棉；石膏板接缝处粘贴专用绷带；隔断厚度100mm；位置： </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2.2室内间隔墙体，新建地面到天花玻璃隔断约30㎡，通透钢化玻璃（覆渐变膜），轻钢龙骨隔断或大芯板制作边框，中间开凹槽固定玻璃，玻璃胶密封收口；</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lang w:val="en-US" w:eastAsia="zh-CN"/>
              </w:rPr>
              <w:t>地面工程：</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3.1实验室地面增高，轻体砖或陶砾。325普通硅盐酸水泥，粗沙；轻体砖或陶砾垫地，325水泥沙浆混合基底固定，厚度不超过300mm；</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3.2实验室</w:t>
            </w:r>
            <w:r>
              <w:rPr>
                <w:rFonts w:hint="default" w:ascii="宋体" w:hAnsi="宋体" w:eastAsia="宋体" w:cs="宋体"/>
                <w:color w:val="000000"/>
                <w:sz w:val="24"/>
                <w:szCs w:val="24"/>
                <w:lang w:val="en-US" w:eastAsia="zh-CN"/>
              </w:rPr>
              <w:t>地面自流平</w:t>
            </w:r>
            <w:r>
              <w:rPr>
                <w:rFonts w:hint="eastAsia" w:ascii="宋体" w:hAnsi="宋体" w:eastAsia="宋体" w:cs="宋体"/>
                <w:color w:val="000000"/>
                <w:sz w:val="24"/>
                <w:szCs w:val="24"/>
                <w:lang w:val="en-US" w:eastAsia="zh-CN"/>
              </w:rPr>
              <w:t>，地面基层砂浆基础找平后，最后用环氧自流平找平；</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3.3实验室地面铺贴地砖(人工、辅料)，325水泥：砂按1：2.5比例加水混合后铺设，勾缝剂勾缝，厚度不超过30mm；1500mm</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750mm地砖；</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3.4实验室</w:t>
            </w:r>
            <w:r>
              <w:rPr>
                <w:rFonts w:hint="default" w:ascii="宋体" w:hAnsi="宋体" w:eastAsia="宋体" w:cs="宋体"/>
                <w:color w:val="000000"/>
                <w:sz w:val="24"/>
                <w:szCs w:val="24"/>
                <w:lang w:val="en-US" w:eastAsia="zh-CN"/>
              </w:rPr>
              <w:t>制作地台（讲台）3*5镀锌方钢焊接制作框架，内部填充砌块砖，C30水泥砂浆找平</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3.5实验室安装不锈钢踢脚线（增加0.15损耗），定制弧形金属踢脚线，定制304不锈钢抗指纹踢脚线，现场安装；</w:t>
            </w:r>
          </w:p>
          <w:p>
            <w:pPr>
              <w:spacing w:beforeLines="0" w:afterLines="0"/>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4.吊顶工程：</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4.1安装轻钢龙骨石膏板吊顶，安装反光灯槽，轻钢主龙骨、自攻螺丝钉固定9.5mm厚纸面石膏板贴面,钉眼点涂防锈漆,石膏板接缝处粘贴专用绷带；</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4.2安装软膜吊顶，安装软膜吊顶基层弧形框架，轻钢龙骨加阻燃板做框架，内刷白色涂料，软膜天花饰面；4.3安装轻钢龙骨隔断造型，隔墙龙骨做框架外贴阻燃板；</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4.4窗帘盒≤300mm×200mm木制、乳胶漆饰面窗帘盒；细木工板衬底、石膏板封面，刮腻子刷乳胶漆；</w:t>
            </w:r>
          </w:p>
          <w:p>
            <w:pPr>
              <w:spacing w:beforeLines="0" w:afterLines="0"/>
              <w:jc w:val="left"/>
              <w:rPr>
                <w:rFonts w:hint="eastAsia" w:ascii="宋体" w:hAnsi="宋体" w:cs="宋体"/>
                <w:color w:val="000000"/>
                <w:sz w:val="24"/>
                <w:szCs w:val="24"/>
                <w:lang w:val="en-US" w:eastAsia="zh-CN"/>
              </w:rPr>
            </w:pPr>
            <w:r>
              <w:rPr>
                <w:rFonts w:hint="eastAsia" w:ascii="宋体" w:hAnsi="宋体" w:eastAsia="宋体" w:cs="宋体"/>
                <w:color w:val="000000"/>
                <w:sz w:val="24"/>
                <w:szCs w:val="24"/>
                <w:lang w:val="en-US" w:eastAsia="zh-CN"/>
              </w:rPr>
              <w:t>4.5空调风口、检修口，风口内刷灰漆；根据风口尺寸木工现场开挖检修口和出风口，风口四周龙骨固定， 长条假风口内刷灰色乳胶漆；</w:t>
            </w:r>
            <w:r>
              <w:rPr>
                <w:rFonts w:hint="eastAsia" w:ascii="宋体" w:hAnsi="宋体" w:cs="宋体"/>
                <w:color w:val="000000"/>
                <w:sz w:val="24"/>
                <w:szCs w:val="24"/>
                <w:lang w:val="en-US" w:eastAsia="zh-CN"/>
              </w:rPr>
              <w:t xml:space="preserve"> </w:t>
            </w:r>
          </w:p>
          <w:p>
            <w:pPr>
              <w:numPr>
                <w:ilvl w:val="0"/>
                <w:numId w:val="2"/>
              </w:numPr>
              <w:spacing w:beforeLines="0" w:afterLines="0"/>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饰面工程：</w:t>
            </w:r>
          </w:p>
          <w:p>
            <w:pPr>
              <w:numPr>
                <w:ilvl w:val="0"/>
                <w:numId w:val="0"/>
              </w:numPr>
              <w:spacing w:beforeLines="0" w:afterLines="0"/>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5.1顶面嵌缝石膏找平基层处理，界面剂、石膏粉，基层腻子强光打磨平整、表面浮灰清扫干净，前2遍选用中毛滚筒滚 涂，最后1遍采用短毛滚筒收光；</w:t>
            </w:r>
          </w:p>
          <w:p>
            <w:pPr>
              <w:numPr>
                <w:ilvl w:val="0"/>
                <w:numId w:val="0"/>
              </w:numPr>
              <w:spacing w:beforeLines="0" w:afterLines="0"/>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5.2顶面批刮腻子基层处理，原装腻子粉，刮腻子2-3遍、强光打磨平整；</w:t>
            </w:r>
          </w:p>
          <w:p>
            <w:pPr>
              <w:numPr>
                <w:ilvl w:val="0"/>
                <w:numId w:val="0"/>
              </w:numPr>
              <w:spacing w:beforeLines="0" w:afterLines="0"/>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5.3室内顶面涂刷乳胶漆，环保乳胶漆，基层腻子强光打磨平整、表面浮灰清扫干净，前2遍选用中毛滚筒滚 涂，最后1遍采用短毛滚筒收光；</w:t>
            </w:r>
          </w:p>
          <w:p>
            <w:pPr>
              <w:numPr>
                <w:ilvl w:val="0"/>
                <w:numId w:val="0"/>
              </w:numPr>
              <w:spacing w:beforeLines="0" w:afterLines="0"/>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5.4铺贴窗台大理石（人工、辅料），天然大理石，云石胶粘贴；</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5.5墙面批刮腻子基层处理，原装腻子粉，刮腻子2-3遍、强光打磨平整；</w:t>
            </w:r>
          </w:p>
          <w:p>
            <w:pPr>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5.6墙面涂刷乳胶漆，环保乳胶漆，基层腻子强光打磨平整、表面浮灰清扫干净，前2遍选用中毛滚筒滚涂，最后1遍采用短毛滚筒收光；</w:t>
            </w:r>
          </w:p>
          <w:p>
            <w:pPr>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5.7安装亮光混油木饰面墙面，环保阻燃板框架，外贴3厘奥松板，板面开V字槽，使用特工 组接缝剂，混油饰面，颜色待定；</w:t>
            </w:r>
          </w:p>
          <w:p>
            <w:pPr>
              <w:pStyle w:val="2"/>
              <w:ind w:left="0" w:leftChars="0" w:firstLine="0" w:firstLineChars="0"/>
              <w:rPr>
                <w:rFonts w:hint="eastAsia"/>
                <w:lang w:val="en-US" w:eastAsia="zh-CN"/>
              </w:rPr>
            </w:pPr>
            <w:r>
              <w:rPr>
                <w:rFonts w:hint="eastAsia"/>
                <w:lang w:val="en-US" w:eastAsia="zh-CN"/>
              </w:rPr>
              <w:t>5.8</w:t>
            </w:r>
            <w:r>
              <w:rPr>
                <w:rFonts w:hint="default"/>
                <w:lang w:val="en-US" w:eastAsia="zh-CN"/>
              </w:rPr>
              <w:t>安装亮光混油展示柜</w:t>
            </w:r>
            <w:r>
              <w:rPr>
                <w:rFonts w:hint="eastAsia"/>
                <w:lang w:val="en-US" w:eastAsia="zh-CN"/>
              </w:rPr>
              <w:t>，环保阻燃板框架，外贴3厘奥松板，板面开V字槽，使用特工 组接缝剂，混油饰面；</w:t>
            </w:r>
          </w:p>
          <w:p>
            <w:pPr>
              <w:pStyle w:val="2"/>
              <w:ind w:left="0" w:leftChars="0" w:firstLine="0" w:firstLineChars="0"/>
              <w:rPr>
                <w:rFonts w:hint="eastAsia"/>
                <w:lang w:val="en-US" w:eastAsia="zh-CN"/>
              </w:rPr>
            </w:pPr>
            <w:r>
              <w:rPr>
                <w:rFonts w:hint="eastAsia"/>
                <w:lang w:val="en-US" w:eastAsia="zh-CN"/>
              </w:rPr>
              <w:t>5.9LOGO字体，机器雕刻亚克力字，厚度5毫米、现场安装；</w:t>
            </w:r>
          </w:p>
          <w:p>
            <w:pPr>
              <w:numPr>
                <w:ilvl w:val="0"/>
                <w:numId w:val="0"/>
              </w:numPr>
              <w:ind w:leftChars="0"/>
              <w:rPr>
                <w:rFonts w:hint="eastAsia"/>
                <w:lang w:val="en-US" w:eastAsia="zh-CN"/>
              </w:rPr>
            </w:pPr>
            <w:r>
              <w:rPr>
                <w:rFonts w:hint="eastAsia"/>
                <w:lang w:val="en-US" w:eastAsia="zh-CN"/>
              </w:rPr>
              <w:t>6.</w:t>
            </w:r>
            <w:r>
              <w:rPr>
                <w:rFonts w:hint="default"/>
                <w:lang w:val="en-US" w:eastAsia="zh-CN"/>
              </w:rPr>
              <w:t>行门工程</w:t>
            </w:r>
            <w:r>
              <w:rPr>
                <w:rFonts w:hint="eastAsia"/>
                <w:lang w:val="en-US" w:eastAsia="zh-CN"/>
              </w:rPr>
              <w:t>，平开入户门，入户门2樘  室内办公室3樘；</w:t>
            </w:r>
          </w:p>
          <w:p>
            <w:pPr>
              <w:pStyle w:val="2"/>
              <w:numPr>
                <w:ilvl w:val="0"/>
                <w:numId w:val="0"/>
              </w:numPr>
              <w:ind w:leftChars="0"/>
              <w:rPr>
                <w:rFonts w:hint="default"/>
                <w:lang w:val="en-US" w:eastAsia="zh-CN"/>
              </w:rPr>
            </w:pPr>
            <w:r>
              <w:rPr>
                <w:rFonts w:hint="eastAsia"/>
                <w:lang w:val="en-US" w:eastAsia="zh-CN"/>
              </w:rPr>
              <w:t>7.</w:t>
            </w:r>
            <w:r>
              <w:rPr>
                <w:rFonts w:hint="default"/>
                <w:lang w:val="en-US" w:eastAsia="zh-CN"/>
              </w:rPr>
              <w:t>电气工程</w:t>
            </w:r>
            <w:r>
              <w:rPr>
                <w:rFonts w:hint="eastAsia" w:ascii="宋体" w:hAnsi="宋体" w:eastAsia="宋体" w:cs="宋体"/>
                <w:color w:val="000000"/>
                <w:sz w:val="24"/>
                <w:szCs w:val="24"/>
                <w:lang w:val="en-US" w:eastAsia="zh-CN"/>
              </w:rPr>
              <w:t>：</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7.1装照明控制开关连支路管线，直径20mm镀锌薄壁管及2.5mm2绝缘线铺设，穿线管内穿塑铜线（不超过3根）、管内电线不得接头、线卡或绑扎固定线管、顶面下吊杆。分线处用分线盒，新建墙体线管入墙，不含原墙线管入墙开槽费。</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7.2安装LED节能筒灯；</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7.3</w:t>
            </w:r>
            <w:r>
              <w:rPr>
                <w:rFonts w:hint="default" w:ascii="宋体" w:hAnsi="宋体" w:cs="宋体"/>
                <w:color w:val="000000"/>
                <w:sz w:val="24"/>
                <w:szCs w:val="24"/>
                <w:lang w:val="en-US" w:eastAsia="zh-CN"/>
              </w:rPr>
              <w:t>安装灯带</w:t>
            </w:r>
            <w:r>
              <w:rPr>
                <w:rFonts w:hint="eastAsia" w:ascii="宋体" w:hAnsi="宋体" w:cs="宋体"/>
                <w:color w:val="000000"/>
                <w:sz w:val="24"/>
                <w:szCs w:val="24"/>
                <w:lang w:val="en-US" w:eastAsia="zh-CN"/>
              </w:rPr>
              <w:t>；</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7.4安装照明开关面板；</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7.5安装220V电源五孔墙面插座连支路管线，直径20mm镀锌薄壁管及2.5mm2绝缘线铺设，穿线管内穿塑铜线（不超过4根）、管内电线不得接头、线卡或绑扎固定线管、顶面下吊杆。分线处用分线盒，新建墙体线管入墙，不含原墙线管入墙开槽费；</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7.6安装墙面插座；</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7.7安装墙面数据网络插座连支路管线；</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7.8安装220V电源空调内机连支路管线，直径20mm镀锌壁管及2.5/4mm2绝缘线铺设，安装220V电源空调外机连支路管线，直径20mm镀锌壁管及2.5mm2绝缘线铺设，穿线管内穿塑铜线（不超过4根）、管内电线不得接头、线卡或绑 扎固定线管、顶面下吊杆，分线处用分线盒，新建墙体线管入墙；</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8.其它项目工程</w:t>
            </w:r>
            <w:r>
              <w:rPr>
                <w:rFonts w:hint="eastAsia" w:ascii="宋体" w:hAnsi="宋体" w:eastAsia="宋体" w:cs="宋体"/>
                <w:color w:val="000000"/>
                <w:sz w:val="24"/>
                <w:szCs w:val="24"/>
                <w:lang w:val="en-US" w:eastAsia="zh-CN"/>
              </w:rPr>
              <w:t>：</w:t>
            </w:r>
            <w:bookmarkStart w:id="4" w:name="_GoBack"/>
            <w:bookmarkEnd w:id="4"/>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8.1地砖拆除；</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8.2施工垃圾清运，装饰物垃圾清运；</w:t>
            </w:r>
          </w:p>
          <w:p>
            <w:pPr>
              <w:pStyle w:val="2"/>
              <w:ind w:left="0" w:leftChars="0" w:firstLine="0" w:firstLineChars="0"/>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8.3材料运输，其他；</w:t>
            </w:r>
          </w:p>
          <w:p>
            <w:pPr>
              <w:pStyle w:val="2"/>
              <w:ind w:left="0" w:leftChars="0" w:firstLine="0" w:firstLineChars="0"/>
              <w:rPr>
                <w:rFonts w:hint="eastAsia" w:eastAsia="宋体"/>
                <w:lang w:val="en-US" w:eastAsia="zh-CN"/>
              </w:rPr>
            </w:pPr>
            <w:r>
              <w:rPr>
                <w:rFonts w:hint="eastAsia" w:ascii="宋体" w:hAnsi="宋体" w:eastAsia="宋体" w:cs="宋体"/>
                <w:b/>
                <w:bCs/>
                <w:sz w:val="24"/>
                <w:szCs w:val="24"/>
              </w:rPr>
              <w:t>备注：以上内容为交钥匙工程</w:t>
            </w:r>
            <w:r>
              <w:rPr>
                <w:rFonts w:hint="eastAsia" w:ascii="宋体" w:hAnsi="宋体" w:eastAsia="宋体" w:cs="宋体"/>
                <w:b/>
                <w:bCs/>
                <w:sz w:val="24"/>
                <w:szCs w:val="24"/>
                <w:lang w:eastAsia="zh-CN"/>
              </w:rPr>
              <w:t>，</w:t>
            </w:r>
            <w:r>
              <w:rPr>
                <w:rFonts w:hint="eastAsia" w:ascii="宋体" w:hAnsi="宋体" w:eastAsia="宋体" w:cs="宋体"/>
                <w:b/>
                <w:bCs/>
                <w:sz w:val="24"/>
                <w:szCs w:val="24"/>
              </w:rPr>
              <w:t>包含现场旧设备拆除、整理、搬运到指定位置存放、垃圾清运、场地规整、旧设备利用时的改造等所有费用；所有设备的安装调试工作及施工所需线材、辅材以及其他不可预见费用；线路必须整洁美观、明线需布线槽；如需其他第三方系统对接，要求报价中包含对接、定制等全部实现功能所需的相关费用；</w:t>
            </w: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批</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642" w:type="dxa"/>
            <w:gridSpan w:val="2"/>
            <w:tcBorders>
              <w:tl2br w:val="nil"/>
              <w:tr2bl w:val="nil"/>
            </w:tcBorders>
            <w:noWrap w:val="0"/>
            <w:vAlign w:val="center"/>
          </w:tcPr>
          <w:p>
            <w:pPr>
              <w:spacing w:beforeLines="0" w:afterLines="0"/>
              <w:jc w:val="both"/>
              <w:rPr>
                <w:rFonts w:hint="eastAsia" w:ascii="宋体" w:hAnsi="宋体" w:eastAsia="宋体" w:cs="宋体"/>
                <w:color w:val="000000"/>
                <w:sz w:val="24"/>
                <w:szCs w:val="24"/>
              </w:rPr>
            </w:pPr>
            <w:r>
              <w:rPr>
                <w:rFonts w:ascii="宋体" w:hAnsi="宋体" w:eastAsia="宋体" w:cs="宋体"/>
                <w:sz w:val="24"/>
                <w:szCs w:val="24"/>
              </w:rPr>
              <w:t>不作为本项目标的物，无需在《中小企业承诺函》中填写，仅需在《投标分项报价表》中进行报价</w:t>
            </w:r>
            <w:r>
              <w:rPr>
                <w:rFonts w:hint="eastAsia" w:ascii="宋体" w:hAnsi="宋体" w:eastAsia="宋体" w:cs="宋体"/>
                <w:sz w:val="24"/>
                <w:szCs w:val="24"/>
                <w:lang w:eastAsia="zh-CN"/>
              </w:rPr>
              <w:t>。</w:t>
            </w:r>
            <w:r>
              <w:rPr>
                <w:rFonts w:hint="eastAsia" w:ascii="宋体" w:hAnsi="宋体" w:cs="宋体"/>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实验室</w:t>
            </w:r>
            <w:r>
              <w:rPr>
                <w:rFonts w:hint="eastAsia" w:ascii="宋体" w:hAnsi="宋体" w:eastAsia="宋体" w:cs="宋体"/>
                <w:color w:val="000000"/>
                <w:sz w:val="24"/>
                <w:szCs w:val="24"/>
              </w:rPr>
              <w:t>数据</w:t>
            </w:r>
            <w:r>
              <w:rPr>
                <w:rFonts w:hint="eastAsia" w:ascii="宋体" w:hAnsi="宋体" w:eastAsia="宋体" w:cs="宋体"/>
                <w:color w:val="000000"/>
                <w:sz w:val="24"/>
                <w:szCs w:val="24"/>
                <w:lang w:val="en-US" w:eastAsia="zh-CN"/>
              </w:rPr>
              <w:t>系统</w:t>
            </w:r>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1.总体要求</w:t>
            </w:r>
          </w:p>
          <w:p>
            <w:pPr>
              <w:spacing w:beforeLines="0" w:afterLines="0"/>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建设一个安全、稳定、可靠的</w:t>
            </w:r>
            <w:r>
              <w:rPr>
                <w:rFonts w:hint="eastAsia" w:ascii="宋体" w:hAnsi="宋体" w:eastAsia="宋体" w:cs="宋体"/>
                <w:color w:val="000000"/>
                <w:sz w:val="24"/>
                <w:szCs w:val="24"/>
                <w:lang w:val="en-US" w:eastAsia="zh-CN"/>
              </w:rPr>
              <w:t>实验室</w:t>
            </w:r>
            <w:r>
              <w:rPr>
                <w:rFonts w:hint="eastAsia" w:ascii="宋体" w:hAnsi="宋体" w:eastAsia="宋体" w:cs="宋体"/>
                <w:color w:val="000000"/>
                <w:sz w:val="24"/>
                <w:szCs w:val="24"/>
              </w:rPr>
              <w:t>数据中台，实现实验室</w:t>
            </w:r>
            <w:r>
              <w:rPr>
                <w:rFonts w:hint="eastAsia" w:ascii="宋体" w:hAnsi="宋体" w:eastAsia="宋体" w:cs="宋体"/>
                <w:color w:val="000000"/>
                <w:sz w:val="24"/>
                <w:szCs w:val="24"/>
                <w:lang w:val="en-US" w:eastAsia="zh-CN"/>
              </w:rPr>
              <w:t>多模态</w:t>
            </w:r>
            <w:r>
              <w:rPr>
                <w:rFonts w:hint="eastAsia" w:ascii="宋体" w:hAnsi="宋体" w:eastAsia="宋体" w:cs="宋体"/>
                <w:color w:val="000000"/>
                <w:sz w:val="24"/>
                <w:szCs w:val="24"/>
              </w:rPr>
              <w:t>数据</w:t>
            </w:r>
            <w:r>
              <w:rPr>
                <w:rFonts w:hint="eastAsia" w:ascii="宋体" w:hAnsi="宋体" w:eastAsia="宋体" w:cs="宋体"/>
                <w:color w:val="000000"/>
                <w:sz w:val="24"/>
                <w:szCs w:val="24"/>
                <w:lang w:val="en-US" w:eastAsia="zh-CN"/>
              </w:rPr>
              <w:t>治理</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形成支撑相关科研活动的数据池。应具备便捷扩展能力，有效满足</w:t>
            </w:r>
            <w:r>
              <w:rPr>
                <w:rFonts w:hint="eastAsia" w:ascii="宋体" w:hAnsi="宋体" w:eastAsia="宋体" w:cs="宋体"/>
                <w:color w:val="000000"/>
                <w:sz w:val="24"/>
                <w:szCs w:val="24"/>
              </w:rPr>
              <w:t>实验室</w:t>
            </w:r>
            <w:r>
              <w:rPr>
                <w:rFonts w:hint="eastAsia" w:ascii="宋体" w:hAnsi="宋体" w:eastAsia="宋体" w:cs="宋体"/>
                <w:color w:val="000000"/>
                <w:sz w:val="24"/>
                <w:szCs w:val="24"/>
                <w:lang w:val="en-US" w:eastAsia="zh-CN"/>
              </w:rPr>
              <w:t>多样化</w:t>
            </w:r>
            <w:r>
              <w:rPr>
                <w:rFonts w:hint="eastAsia" w:ascii="宋体" w:hAnsi="宋体" w:eastAsia="宋体" w:cs="宋体"/>
                <w:color w:val="000000"/>
                <w:sz w:val="24"/>
                <w:szCs w:val="24"/>
              </w:rPr>
              <w:t>科研需求。</w:t>
            </w:r>
            <w:r>
              <w:rPr>
                <w:rFonts w:hint="eastAsia" w:ascii="宋体" w:hAnsi="宋体" w:eastAsia="宋体" w:cs="宋体"/>
                <w:color w:val="000000"/>
                <w:sz w:val="24"/>
                <w:szCs w:val="24"/>
                <w:lang w:val="en-US" w:eastAsia="zh-CN"/>
              </w:rPr>
              <w:t>应</w:t>
            </w:r>
            <w:r>
              <w:rPr>
                <w:rFonts w:hint="eastAsia" w:ascii="宋体" w:hAnsi="宋体" w:eastAsia="宋体" w:cs="宋体"/>
                <w:color w:val="000000"/>
                <w:sz w:val="24"/>
                <w:szCs w:val="24"/>
              </w:rPr>
              <w:t>采用模块化、组件化的编程思想，可灵活地进行各功能模块的加载，使系统具一定程度的伸缩性；技术上立足于长远发展，坚持选用开放性系统，采用先进的体系结构和技术发展的主流产品，保证整个系统高效运行；软件能够被简单方便地修改和升级；具有切实可行的安全保护和保密措施以及对计算机犯罪和病毒的防范能力，确保数据永久安全。项目要求合同签订后</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个月完成全部系统开发、对接、部署工作，并具备上线条件。</w:t>
            </w:r>
          </w:p>
          <w:p>
            <w:pPr>
              <w:spacing w:beforeLines="0" w:afterLines="0"/>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系统应包括所有历史数据以及系统交付日后五年数据。</w:t>
            </w:r>
          </w:p>
          <w:p>
            <w:pPr>
              <w:spacing w:beforeLines="0" w:afterLines="0"/>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系统交付后，所有相关软件系统与数据所有权均为安徽财经大学所有，系统可永久独立运行。</w:t>
            </w:r>
          </w:p>
          <w:p>
            <w:pPr>
              <w:spacing w:beforeLines="0" w:afterLines="0"/>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实验室</w:t>
            </w:r>
            <w:r>
              <w:rPr>
                <w:rFonts w:hint="eastAsia" w:ascii="宋体" w:hAnsi="宋体" w:eastAsia="宋体" w:cs="宋体"/>
                <w:color w:val="000000"/>
                <w:sz w:val="24"/>
                <w:szCs w:val="24"/>
              </w:rPr>
              <w:t>数据中台需要具备的核心业务功能包括但不限于：</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bookmarkStart w:id="0" w:name="OLE_LINK3"/>
            <w:r>
              <w:rPr>
                <w:rFonts w:hint="eastAsia" w:ascii="宋体" w:hAnsi="宋体" w:eastAsia="宋体" w:cs="宋体"/>
                <w:color w:val="000000"/>
                <w:sz w:val="24"/>
                <w:szCs w:val="24"/>
              </w:rPr>
              <w:t>实验室数据</w:t>
            </w:r>
            <w:r>
              <w:rPr>
                <w:rFonts w:hint="eastAsia" w:ascii="宋体" w:hAnsi="宋体" w:eastAsia="宋体" w:cs="宋体"/>
                <w:color w:val="000000"/>
                <w:sz w:val="24"/>
                <w:szCs w:val="24"/>
                <w:lang w:val="en-US" w:eastAsia="zh-CN"/>
              </w:rPr>
              <w:t>整合</w:t>
            </w:r>
            <w:r>
              <w:rPr>
                <w:rFonts w:hint="eastAsia" w:ascii="宋体" w:hAnsi="宋体" w:eastAsia="宋体" w:cs="宋体"/>
                <w:color w:val="000000"/>
                <w:sz w:val="24"/>
                <w:szCs w:val="24"/>
              </w:rPr>
              <w:t>管理。实验室应用数据、科研数据管理统一标准设计与管理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可</w:t>
            </w:r>
            <w:r>
              <w:rPr>
                <w:rFonts w:hint="eastAsia" w:ascii="宋体" w:hAnsi="宋体" w:eastAsia="宋体" w:cs="宋体"/>
                <w:color w:val="000000"/>
                <w:sz w:val="24"/>
                <w:szCs w:val="24"/>
              </w:rPr>
              <w:t>实现</w:t>
            </w:r>
            <w:r>
              <w:rPr>
                <w:rFonts w:hint="eastAsia" w:ascii="宋体" w:hAnsi="宋体" w:eastAsia="宋体" w:cs="宋体"/>
                <w:color w:val="000000"/>
                <w:sz w:val="24"/>
                <w:szCs w:val="24"/>
                <w:lang w:val="en-US" w:eastAsia="zh-CN"/>
              </w:rPr>
              <w:t>相关科研</w:t>
            </w:r>
            <w:r>
              <w:rPr>
                <w:rFonts w:hint="eastAsia" w:ascii="宋体" w:hAnsi="宋体" w:eastAsia="宋体" w:cs="宋体"/>
                <w:color w:val="000000"/>
                <w:sz w:val="24"/>
                <w:szCs w:val="24"/>
              </w:rPr>
              <w:t>数据的采集</w:t>
            </w:r>
            <w:r>
              <w:rPr>
                <w:rFonts w:hint="eastAsia" w:ascii="宋体" w:hAnsi="宋体" w:eastAsia="宋体" w:cs="宋体"/>
                <w:color w:val="000000"/>
                <w:sz w:val="24"/>
                <w:szCs w:val="24"/>
                <w:lang w:val="en-US" w:eastAsia="zh-CN"/>
              </w:rPr>
              <w:t>与管理（含数据）；可</w:t>
            </w:r>
            <w:r>
              <w:rPr>
                <w:rFonts w:hint="eastAsia" w:ascii="宋体" w:hAnsi="宋体" w:eastAsia="宋体" w:cs="宋体"/>
                <w:color w:val="000000"/>
                <w:sz w:val="24"/>
                <w:szCs w:val="24"/>
              </w:rPr>
              <w:t>对我校</w:t>
            </w:r>
            <w:r>
              <w:rPr>
                <w:rFonts w:hint="eastAsia" w:ascii="宋体" w:hAnsi="宋体" w:eastAsia="宋体" w:cs="宋体"/>
                <w:color w:val="000000"/>
                <w:sz w:val="24"/>
                <w:szCs w:val="24"/>
                <w:lang w:val="en-US" w:eastAsia="zh-CN"/>
              </w:rPr>
              <w:t>已购</w:t>
            </w:r>
            <w:r>
              <w:rPr>
                <w:rFonts w:hint="eastAsia" w:ascii="宋体" w:hAnsi="宋体" w:eastAsia="宋体" w:cs="宋体"/>
                <w:color w:val="000000"/>
                <w:sz w:val="24"/>
                <w:szCs w:val="24"/>
              </w:rPr>
              <w:t>数据进行数据整合</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支持自建数据库管理与运用；</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1.2具备数据资产的服务化功能</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val="en-US" w:eastAsia="zh-CN"/>
              </w:rPr>
              <w:t>实验室</w:t>
            </w:r>
            <w:r>
              <w:rPr>
                <w:rFonts w:hint="eastAsia" w:ascii="宋体" w:hAnsi="宋体" w:eastAsia="宋体" w:cs="宋体"/>
                <w:color w:val="000000"/>
                <w:sz w:val="24"/>
                <w:szCs w:val="24"/>
              </w:rPr>
              <w:t>数据池查询接口</w:t>
            </w:r>
            <w:r>
              <w:rPr>
                <w:rFonts w:hint="eastAsia" w:ascii="宋体" w:hAnsi="宋体" w:eastAsia="宋体" w:cs="宋体"/>
                <w:color w:val="000000"/>
                <w:sz w:val="24"/>
                <w:szCs w:val="24"/>
                <w:lang w:val="en-US" w:eastAsia="zh-CN"/>
              </w:rPr>
              <w:t>等科研业务开发环境；</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val="en-US" w:eastAsia="zh-CN"/>
              </w:rPr>
              <w:t>便捷友好的</w:t>
            </w:r>
            <w:r>
              <w:rPr>
                <w:rFonts w:hint="eastAsia" w:ascii="宋体" w:hAnsi="宋体" w:eastAsia="宋体" w:cs="宋体"/>
                <w:color w:val="000000"/>
                <w:sz w:val="24"/>
                <w:szCs w:val="24"/>
              </w:rPr>
              <w:t>可视化</w:t>
            </w:r>
            <w:r>
              <w:rPr>
                <w:rFonts w:hint="eastAsia" w:ascii="宋体" w:hAnsi="宋体" w:eastAsia="宋体" w:cs="宋体"/>
                <w:color w:val="000000"/>
                <w:sz w:val="24"/>
                <w:szCs w:val="24"/>
                <w:lang w:val="en-US" w:eastAsia="zh-CN"/>
              </w:rPr>
              <w:t>服务</w:t>
            </w:r>
            <w:r>
              <w:rPr>
                <w:rFonts w:hint="eastAsia" w:ascii="宋体" w:hAnsi="宋体" w:eastAsia="宋体" w:cs="宋体"/>
                <w:color w:val="000000"/>
                <w:sz w:val="24"/>
                <w:szCs w:val="24"/>
              </w:rPr>
              <w:t>工具</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提供便捷的多类型的机器学习</w:t>
            </w:r>
            <w:r>
              <w:rPr>
                <w:rFonts w:hint="eastAsia" w:ascii="宋体" w:hAnsi="宋体" w:eastAsia="宋体" w:cs="宋体"/>
                <w:color w:val="000000"/>
                <w:sz w:val="24"/>
                <w:szCs w:val="24"/>
              </w:rPr>
              <w:t>与</w:t>
            </w:r>
            <w:r>
              <w:rPr>
                <w:rFonts w:hint="eastAsia" w:ascii="宋体" w:hAnsi="宋体" w:eastAsia="宋体" w:cs="宋体"/>
                <w:color w:val="000000"/>
                <w:sz w:val="24"/>
                <w:szCs w:val="24"/>
                <w:lang w:val="en-US" w:eastAsia="zh-CN"/>
              </w:rPr>
              <w:t>大数据统计</w:t>
            </w:r>
            <w:r>
              <w:rPr>
                <w:rFonts w:hint="eastAsia" w:ascii="宋体" w:hAnsi="宋体" w:eastAsia="宋体" w:cs="宋体"/>
                <w:color w:val="000000"/>
                <w:sz w:val="24"/>
                <w:szCs w:val="24"/>
              </w:rPr>
              <w:t>分析</w:t>
            </w:r>
            <w:bookmarkEnd w:id="0"/>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.平台功能要求</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整个系统应采用先进合理的业务架构，系统主要包含：</w:t>
            </w:r>
            <w:r>
              <w:rPr>
                <w:rFonts w:hint="eastAsia" w:ascii="宋体" w:hAnsi="宋体" w:eastAsia="宋体" w:cs="宋体"/>
                <w:color w:val="000000"/>
                <w:sz w:val="24"/>
                <w:szCs w:val="24"/>
                <w:lang w:val="en-US" w:eastAsia="zh-CN"/>
              </w:rPr>
              <w:t>低碳发展与碳金融</w:t>
            </w:r>
            <w:r>
              <w:rPr>
                <w:rFonts w:hint="eastAsia" w:ascii="宋体" w:hAnsi="宋体" w:eastAsia="宋体" w:cs="宋体"/>
                <w:color w:val="000000"/>
                <w:sz w:val="24"/>
                <w:szCs w:val="24"/>
              </w:rPr>
              <w:t>实验室数据中台、数据池、数据可视化平台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科研业务平台等模块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系统总体要功能求如下：</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.1实验室数据管理</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应以统一标准和口径管理实验和科研相关数据，实现各</w:t>
            </w:r>
            <w:r>
              <w:rPr>
                <w:rFonts w:hint="eastAsia" w:ascii="宋体" w:hAnsi="宋体" w:eastAsia="宋体" w:cs="宋体"/>
                <w:color w:val="000000"/>
                <w:sz w:val="24"/>
                <w:szCs w:val="24"/>
                <w:lang w:val="en-US" w:eastAsia="zh-CN"/>
              </w:rPr>
              <w:t>类</w:t>
            </w:r>
            <w:r>
              <w:rPr>
                <w:rFonts w:hint="eastAsia" w:ascii="宋体" w:hAnsi="宋体" w:eastAsia="宋体" w:cs="宋体"/>
                <w:color w:val="000000"/>
                <w:sz w:val="24"/>
                <w:szCs w:val="24"/>
              </w:rPr>
              <w:t>实验应用数据（实验过程数据）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科研数据互联互通，并形成数据资产并进行管理。支持新实验应用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科研项目数据需求</w:t>
            </w:r>
            <w:r>
              <w:rPr>
                <w:rFonts w:hint="eastAsia" w:ascii="宋体" w:hAnsi="宋体" w:eastAsia="宋体" w:cs="宋体"/>
                <w:color w:val="000000"/>
                <w:sz w:val="24"/>
                <w:szCs w:val="24"/>
              </w:rPr>
              <w:t>的对接扩展</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3.1.1数据模型设计</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碳金融实验室数据中台，应当结合我校实验与科研相关的流程与方法设计数据模型，保障实验和科研相关数据统一标准与口径</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3.1.2数据互通</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实现各实验应用数据（实验过程数据）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科研</w:t>
            </w:r>
            <w:r>
              <w:rPr>
                <w:rFonts w:hint="eastAsia" w:ascii="宋体" w:hAnsi="宋体" w:eastAsia="宋体" w:cs="宋体"/>
                <w:color w:val="000000"/>
                <w:sz w:val="24"/>
                <w:szCs w:val="24"/>
                <w:lang w:val="en-US" w:eastAsia="zh-CN"/>
              </w:rPr>
              <w:t>基础</w:t>
            </w:r>
            <w:r>
              <w:rPr>
                <w:rFonts w:hint="eastAsia" w:ascii="宋体" w:hAnsi="宋体" w:eastAsia="宋体" w:cs="宋体"/>
                <w:color w:val="000000"/>
                <w:sz w:val="24"/>
                <w:szCs w:val="24"/>
              </w:rPr>
              <w:t>数据互联互通，并形成数据资产</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3.1.3新数据对接</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数据中台支持新实验应用数据能够根据统一数据标准接入，从而保障中台业务的扩展能力</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实验室</w:t>
            </w:r>
            <w:r>
              <w:rPr>
                <w:rFonts w:hint="eastAsia" w:ascii="宋体" w:hAnsi="宋体" w:eastAsia="宋体" w:cs="宋体"/>
                <w:color w:val="000000"/>
                <w:sz w:val="24"/>
                <w:szCs w:val="24"/>
              </w:rPr>
              <w:t>数据池</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.2.1数据采集治理</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根据采集数据列表需求，采集并提供包括</w:t>
            </w:r>
            <w:r>
              <w:rPr>
                <w:rFonts w:hint="eastAsia" w:ascii="宋体" w:hAnsi="宋体" w:eastAsia="宋体" w:cs="宋体"/>
                <w:color w:val="000000"/>
                <w:sz w:val="24"/>
                <w:szCs w:val="24"/>
                <w:lang w:val="en-US" w:eastAsia="zh-CN"/>
              </w:rPr>
              <w:t>但不限于</w:t>
            </w:r>
            <w:r>
              <w:rPr>
                <w:rFonts w:hint="eastAsia" w:ascii="宋体" w:hAnsi="宋体" w:eastAsia="宋体" w:cs="宋体"/>
                <w:color w:val="000000"/>
                <w:sz w:val="24"/>
                <w:szCs w:val="24"/>
              </w:rPr>
              <w:t>环境监测点数据、城市环保排放数据、上市公司社会责任报告等定制化数据需求；需实时根据数据源情况做出配置规则调整，保证数据提供的连续性准确性</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企业污染监测数据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碳排放与核查数据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需包含企业信息、污染监测数据</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空气质量站点监测数据 指数分级计算参考的标准是GB 3095-2012《环境空气质量标准》（现行，2012年最新修订），参与评价的污染物：API、SO2、NO2、PM10、PM2.5、O3、CO等，发布频率为每小时发布一次</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可直接用于文本挖掘的</w:t>
            </w:r>
            <w:r>
              <w:rPr>
                <w:rFonts w:hint="eastAsia" w:ascii="宋体" w:hAnsi="宋体" w:eastAsia="宋体" w:cs="宋体"/>
                <w:color w:val="000000"/>
                <w:sz w:val="24"/>
                <w:szCs w:val="24"/>
              </w:rPr>
              <w:t>政府工作报告含国务院、省级政府、市级政府在内的三级政府部门的工作报告文本文件</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上市公司年报、</w:t>
            </w:r>
            <w:r>
              <w:rPr>
                <w:rFonts w:hint="eastAsia" w:ascii="宋体" w:hAnsi="宋体" w:eastAsia="宋体" w:cs="宋体"/>
                <w:color w:val="000000"/>
                <w:sz w:val="24"/>
                <w:szCs w:val="24"/>
              </w:rPr>
              <w:t>社会责任报告</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ESG评级（含底层数据）、绿色技术创新数据</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财政部政府和社会资本合作中心PPP项目数据财政部政府和社会资本合作中心收录的PPP项目信息，包括项目概况（30个指标）、本项目财政承受能力论证测算的财政支出责任需从预算中安排的支出责任汇总（6个指标）、物有所值定性评价指标及权重、评分标准、评分结果（5个指标）</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全球各国化石能源（煤炭、原油、成品油、天然气）消费价格数据（1970年至今）</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（7）全球碳市场交易数据；欧盟碳期货、碳期权数据；中国碳市场现货交易价格数据；</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生态环境部排污许可证书内容数据库</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上市公司绿色投资、环保投资数据库</w:t>
            </w:r>
            <w:r>
              <w:rPr>
                <w:rFonts w:hint="eastAsia" w:ascii="宋体" w:hAnsi="宋体" w:eastAsia="宋体" w:cs="宋体"/>
                <w:color w:val="000000"/>
                <w:sz w:val="24"/>
                <w:szCs w:val="24"/>
                <w:lang w:val="en-US" w:eastAsia="zh-CN"/>
              </w:rPr>
              <w:t>；</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.2.2数据整合</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整合系统所需各类数据源，包括实验科研数据，外部采购数据，本项目定制数据等，将各类数据规范成统一标准和口径，实现各实验应用数据（实验过程数据）与科研数据互联互通，并形成数据资产并进行管理；支持新实验应用的对接扩展</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.2.3基础功能平台</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系统的基础管理模块，支持分级用户权限体系，提供不同层级的用户、角色、权限管理功能；支持系统参数和数据字典配置化，提供数据字典、错误参数、业务参数运行功能</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数据可视化平台</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提供便捷数据接口支持开展统计建模分析、机器学习等科研应用。提供数据挖掘工具，支持数据可视化，可便捷实现数字画像。</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.2.1数据接口开发</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提供数据池查询接口，便于支持开展统计建模分析、机器学习等科研应用</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.2.2数据可视化展示</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前台界面支持科研数据</w:t>
            </w:r>
            <w:r>
              <w:rPr>
                <w:rFonts w:hint="eastAsia" w:ascii="宋体" w:hAnsi="宋体" w:eastAsia="宋体" w:cs="宋体"/>
                <w:color w:val="000000"/>
                <w:sz w:val="24"/>
                <w:szCs w:val="24"/>
                <w:lang w:val="en-US" w:eastAsia="zh-CN"/>
              </w:rPr>
              <w:t>如</w:t>
            </w:r>
            <w:r>
              <w:rPr>
                <w:rFonts w:hint="eastAsia" w:ascii="宋体" w:hAnsi="宋体" w:eastAsia="宋体" w:cs="宋体"/>
                <w:color w:val="000000"/>
                <w:sz w:val="24"/>
                <w:szCs w:val="24"/>
              </w:rPr>
              <w:t>环境监测数据、上市公司社会责任报告、碳交易行情数据、上市公司财务基本面数据、ESG</w:t>
            </w:r>
            <w:r>
              <w:rPr>
                <w:rFonts w:hint="eastAsia" w:ascii="宋体" w:hAnsi="宋体" w:eastAsia="宋体" w:cs="宋体"/>
                <w:color w:val="000000"/>
                <w:sz w:val="24"/>
                <w:szCs w:val="24"/>
                <w:lang w:val="en-US" w:eastAsia="zh-CN"/>
              </w:rPr>
              <w:t>等多种类数据</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便捷联合</w:t>
            </w:r>
            <w:r>
              <w:rPr>
                <w:rFonts w:hint="eastAsia" w:ascii="宋体" w:hAnsi="宋体" w:eastAsia="宋体" w:cs="宋体"/>
                <w:color w:val="000000"/>
                <w:sz w:val="24"/>
                <w:szCs w:val="24"/>
              </w:rPr>
              <w:t>查询及</w:t>
            </w:r>
            <w:r>
              <w:rPr>
                <w:rFonts w:hint="eastAsia" w:ascii="宋体" w:hAnsi="宋体" w:eastAsia="宋体" w:cs="宋体"/>
                <w:color w:val="000000"/>
                <w:sz w:val="24"/>
                <w:szCs w:val="24"/>
                <w:lang w:val="en-US" w:eastAsia="zh-CN"/>
              </w:rPr>
              <w:t>多种格式</w:t>
            </w:r>
            <w:r>
              <w:rPr>
                <w:rFonts w:hint="eastAsia" w:ascii="宋体" w:hAnsi="宋体" w:eastAsia="宋体" w:cs="宋体"/>
                <w:color w:val="000000"/>
                <w:sz w:val="24"/>
                <w:szCs w:val="24"/>
              </w:rPr>
              <w:t>导出功能；</w:t>
            </w: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.2.3 数据画像大屏</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支持定制数据画像的大屏展示，数据分析后提供丰富的可视化界面，实现多个业务领域数据画像</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lang w:eastAsia="zh-CN"/>
              </w:rPr>
            </w:pP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8" w:hRule="atLeast"/>
        </w:trPr>
        <w:tc>
          <w:tcPr>
            <w:tcW w:w="79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24</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bookmarkStart w:id="1" w:name="OLE_LINK4"/>
            <w:r>
              <w:rPr>
                <w:rFonts w:hint="eastAsia" w:ascii="宋体" w:hAnsi="宋体" w:eastAsia="宋体" w:cs="宋体"/>
                <w:color w:val="000000"/>
                <w:sz w:val="24"/>
                <w:szCs w:val="24"/>
              </w:rPr>
              <w:t>碳投融资评估仿真系统</w:t>
            </w:r>
            <w:bookmarkEnd w:id="1"/>
          </w:p>
        </w:tc>
        <w:tc>
          <w:tcPr>
            <w:tcW w:w="5939" w:type="dxa"/>
            <w:tcBorders>
              <w:tl2br w:val="nil"/>
              <w:tr2bl w:val="nil"/>
            </w:tcBorders>
            <w:noWrap w:val="0"/>
            <w:vAlign w:val="top"/>
          </w:tcPr>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1.总体要求</w:t>
            </w:r>
          </w:p>
          <w:p>
            <w:pPr>
              <w:spacing w:beforeLines="0" w:afterLines="0"/>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系统设计要求：内置多套完整的案例数据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采用模块化、组件化的编程思想，可灵活地进行各功能模块的加载，使系统具一定程度的伸缩性；技术上立足于长远发展，坚持选用开放性系统，采用先进的体系结构和技术发展的主流产品，保证整个系统高效运行；软件能够简洁快速的修改及升级；具有切实可行的安全保护和保密措施以及对计算机犯罪和病毒的防范能力，确保数据永久安全。</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项目实施要求投标人在中标并签署合同后应完成招标文件中所规定的各项任务，包括：系统设计、系统开发、系统测试、系统试运行、系统上线实施、并相关人员培训等。</w:t>
            </w:r>
          </w:p>
          <w:p>
            <w:pPr>
              <w:spacing w:beforeLines="0" w:afterLines="0"/>
              <w:jc w:val="left"/>
              <w:rPr>
                <w:rFonts w:hint="eastAsia" w:ascii="宋体" w:hAnsi="宋体" w:eastAsia="宋体" w:cs="宋体"/>
                <w:color w:val="000000"/>
                <w:sz w:val="24"/>
                <w:szCs w:val="24"/>
              </w:rPr>
            </w:pPr>
            <w:bookmarkStart w:id="2" w:name="OLE_LINK2"/>
            <w:r>
              <w:rPr>
                <w:rFonts w:hint="eastAsia" w:ascii="宋体" w:hAnsi="宋体" w:eastAsia="宋体" w:cs="宋体"/>
                <w:color w:val="000000"/>
                <w:sz w:val="24"/>
                <w:szCs w:val="24"/>
              </w:rPr>
              <w:t>项目要求合同签订后</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个月完成全部系统开发、对接、部署工作，并具备上线条件。</w:t>
            </w:r>
          </w:p>
          <w:bookmarkEnd w:id="2"/>
          <w:p>
            <w:pPr>
              <w:spacing w:beforeLines="0" w:afterLines="0"/>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系统数据应包括所有历史数据以及系统交付日后五年数据。</w:t>
            </w:r>
          </w:p>
          <w:p>
            <w:pPr>
              <w:spacing w:beforeLines="0" w:afterLines="0"/>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系统交付后，所有相关软件系统与数据所有权均为安徽财经大学所有，系统可永久独立运行。</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b/>
                <w:bCs/>
                <w:color w:val="000000"/>
                <w:sz w:val="24"/>
                <w:szCs w:val="24"/>
              </w:rPr>
            </w:pPr>
            <w:r>
              <w:rPr>
                <w:rFonts w:hint="eastAsia" w:ascii="宋体" w:hAnsi="宋体" w:cs="宋体"/>
                <w:b/>
                <w:bCs/>
                <w:color w:val="000000"/>
                <w:sz w:val="24"/>
                <w:szCs w:val="24"/>
                <w:lang w:val="en-US" w:eastAsia="zh-CN"/>
              </w:rPr>
              <w:t>2</w:t>
            </w:r>
            <w:r>
              <w:rPr>
                <w:rFonts w:hint="eastAsia" w:ascii="宋体" w:hAnsi="宋体" w:eastAsia="宋体" w:cs="宋体"/>
                <w:b/>
                <w:bCs/>
                <w:color w:val="000000"/>
                <w:sz w:val="24"/>
                <w:szCs w:val="24"/>
              </w:rPr>
              <w:t>.平台功能要求</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整个仿真系统应采用先进合理的业务架构，系统主要包含：门户运营平台、银企融资在线对接平台、碳金融政策对接平台、碳金融资产管理平台、碳金融数据大屏应用、基础服务平台等。整个碳金融综合服务仿真平台应基于松耦合、模块化的设计理念。需要支持微服务架构设计，将碳金融融资服务、碳金融评级服务、基础服务独立运行，灵活设计出不同的碳金融资产登记应用场景，实现业务人员不同角度的核心需求。系统总体要功能求如下：</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.1碳金融</w:t>
            </w:r>
            <w:r>
              <w:rPr>
                <w:rFonts w:hint="eastAsia" w:ascii="宋体" w:hAnsi="宋体" w:cs="宋体"/>
                <w:color w:val="000000"/>
                <w:sz w:val="24"/>
                <w:szCs w:val="24"/>
                <w:lang w:val="en-US" w:eastAsia="zh-CN"/>
              </w:rPr>
              <w:t>产品</w:t>
            </w:r>
            <w:r>
              <w:rPr>
                <w:rFonts w:hint="eastAsia" w:ascii="宋体" w:hAnsi="宋体" w:eastAsia="宋体" w:cs="宋体"/>
                <w:color w:val="000000"/>
                <w:sz w:val="24"/>
                <w:szCs w:val="24"/>
              </w:rPr>
              <w:t>系统</w:t>
            </w:r>
          </w:p>
          <w:p>
            <w:pPr>
              <w:spacing w:beforeLines="0" w:afterLines="0"/>
              <w:jc w:val="left"/>
              <w:rPr>
                <w:rFonts w:hint="eastAsia" w:ascii="宋体" w:hAnsi="宋体" w:cs="宋体"/>
                <w:color w:val="000000"/>
                <w:sz w:val="24"/>
                <w:szCs w:val="24"/>
                <w:lang w:val="en-US" w:eastAsia="zh-CN"/>
              </w:rPr>
            </w:pPr>
            <w:r>
              <w:rPr>
                <w:rFonts w:hint="eastAsia" w:ascii="宋体" w:hAnsi="宋体" w:eastAsia="宋体" w:cs="宋体"/>
                <w:color w:val="000000"/>
                <w:sz w:val="24"/>
                <w:szCs w:val="24"/>
              </w:rPr>
              <w:t>（1）碳金融产品</w:t>
            </w:r>
            <w:r>
              <w:rPr>
                <w:rFonts w:hint="eastAsia" w:ascii="宋体" w:hAnsi="宋体" w:cs="宋体"/>
                <w:color w:val="000000"/>
                <w:sz w:val="24"/>
                <w:szCs w:val="24"/>
                <w:lang w:val="en-US" w:eastAsia="zh-CN"/>
              </w:rPr>
              <w:t>设计</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碳金融产品（碳相关行业的金融贷款产品）：</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•光伏贷</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•废旧资源再生利用贷</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•节能环保贷</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•清洁能源贷等</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碳金融企业（碳相关类型企业）：</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•国家行业标准认定的低碳减排类企业</w:t>
            </w:r>
            <w:r>
              <w:rPr>
                <w:rFonts w:hint="eastAsia" w:ascii="宋体" w:hAnsi="宋体" w:eastAsia="宋体" w:cs="宋体"/>
                <w:color w:val="000000"/>
                <w:sz w:val="24"/>
                <w:szCs w:val="24"/>
                <w:lang w:eastAsia="zh-CN"/>
              </w:rPr>
              <w:t>；</w:t>
            </w:r>
          </w:p>
          <w:p>
            <w:pPr>
              <w:spacing w:beforeLines="0" w:afterLine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•其他相关绿色企业等</w:t>
            </w:r>
            <w:r>
              <w:rPr>
                <w:rFonts w:hint="eastAsia" w:ascii="宋体" w:hAnsi="宋体" w:eastAsia="宋体" w:cs="宋体"/>
                <w:color w:val="000000"/>
                <w:sz w:val="24"/>
                <w:szCs w:val="24"/>
                <w:lang w:eastAsia="zh-CN"/>
              </w:rPr>
              <w:t>；</w:t>
            </w:r>
          </w:p>
          <w:p>
            <w:pPr>
              <w:spacing w:beforeLines="0" w:afterLines="0"/>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碳金融产品评级</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.2碳金融资产管理系统要求</w:t>
            </w:r>
          </w:p>
          <w:p>
            <w:pPr>
              <w:spacing w:beforeLines="0" w:afterLines="0"/>
              <w:ind w:firstLine="240" w:firstLineChars="10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提供</w:t>
            </w:r>
            <w:r>
              <w:rPr>
                <w:rFonts w:hint="eastAsia" w:ascii="宋体" w:hAnsi="宋体" w:eastAsia="宋体" w:cs="宋体"/>
                <w:color w:val="000000"/>
                <w:sz w:val="24"/>
                <w:szCs w:val="24"/>
                <w:lang w:val="en-US" w:eastAsia="zh-CN"/>
              </w:rPr>
              <w:t>基于大数据分析可实现企业绿色经营活动识别、融资绿色用途识别，基于企业碳核算数据实现能源表现、碳排放表现、综合效率、碳减排表现、行业特征等多维度</w:t>
            </w:r>
            <w:r>
              <w:rPr>
                <w:rFonts w:hint="eastAsia" w:ascii="宋体" w:hAnsi="宋体" w:cs="宋体"/>
                <w:color w:val="000000"/>
                <w:sz w:val="24"/>
                <w:szCs w:val="24"/>
                <w:lang w:val="en-US" w:eastAsia="zh-CN"/>
              </w:rPr>
              <w:t>的企业</w:t>
            </w:r>
            <w:r>
              <w:rPr>
                <w:rFonts w:hint="eastAsia" w:ascii="宋体" w:hAnsi="宋体" w:eastAsia="宋体" w:cs="宋体"/>
                <w:color w:val="000000"/>
                <w:sz w:val="24"/>
                <w:szCs w:val="24"/>
                <w:lang w:val="en-US" w:eastAsia="zh-CN"/>
              </w:rPr>
              <w:t>碳评级</w:t>
            </w:r>
            <w:r>
              <w:rPr>
                <w:rFonts w:hint="eastAsia" w:ascii="宋体" w:hAnsi="宋体" w:cs="宋体"/>
                <w:color w:val="000000"/>
                <w:sz w:val="24"/>
                <w:szCs w:val="24"/>
                <w:lang w:val="en-US" w:eastAsia="zh-CN"/>
              </w:rPr>
              <w:t>功能</w:t>
            </w:r>
            <w:r>
              <w:rPr>
                <w:rFonts w:hint="eastAsia" w:ascii="宋体" w:hAnsi="宋体" w:eastAsia="宋体" w:cs="宋体"/>
                <w:color w:val="000000"/>
                <w:sz w:val="24"/>
                <w:szCs w:val="24"/>
              </w:rPr>
              <w:t>；</w:t>
            </w:r>
          </w:p>
          <w:p>
            <w:pPr>
              <w:spacing w:beforeLines="0" w:afterLines="0"/>
              <w:ind w:firstLine="240" w:firstLineChars="100"/>
              <w:jc w:val="left"/>
              <w:rPr>
                <w:rFonts w:hint="eastAsia" w:ascii="宋体" w:hAnsi="宋体" w:eastAsia="宋体" w:cs="宋体"/>
                <w:color w:val="000000"/>
                <w:sz w:val="24"/>
                <w:szCs w:val="24"/>
              </w:rPr>
            </w:pPr>
            <w:r>
              <w:rPr>
                <w:rFonts w:hint="eastAsia" w:ascii="宋体" w:hAnsi="宋体" w:eastAsia="宋体" w:cs="宋体"/>
                <w:color w:val="000000"/>
                <w:sz w:val="24"/>
                <w:szCs w:val="24"/>
              </w:rPr>
              <w:t>实现碳金融资产的统一识别、评价，归口汇集和管理碳金融资产，为碳金融投融资服务提供基础</w:t>
            </w:r>
            <w:r>
              <w:rPr>
                <w:rFonts w:hint="eastAsia" w:ascii="宋体" w:hAnsi="宋体" w:cs="宋体"/>
                <w:color w:val="000000"/>
                <w:sz w:val="24"/>
                <w:szCs w:val="24"/>
                <w:lang w:val="en-US" w:eastAsia="zh-CN"/>
              </w:rPr>
              <w:t>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含数据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pPr>
              <w:spacing w:beforeLines="0" w:afterLines="0"/>
              <w:ind w:firstLine="240" w:firstLineChars="100"/>
              <w:jc w:val="left"/>
              <w:rPr>
                <w:rFonts w:hint="eastAsia" w:ascii="宋体" w:hAnsi="宋体" w:eastAsia="宋体" w:cs="宋体"/>
                <w:color w:val="000000"/>
                <w:sz w:val="24"/>
                <w:szCs w:val="24"/>
              </w:rPr>
            </w:pPr>
            <w:r>
              <w:rPr>
                <w:rFonts w:hint="eastAsia" w:ascii="宋体" w:hAnsi="宋体" w:eastAsia="宋体" w:cs="宋体"/>
                <w:color w:val="000000"/>
                <w:sz w:val="24"/>
                <w:szCs w:val="24"/>
              </w:rPr>
              <w:t>碳金融资产管理、碳金融资产</w:t>
            </w:r>
            <w:r>
              <w:rPr>
                <w:rFonts w:hint="eastAsia" w:ascii="宋体" w:hAnsi="宋体" w:eastAsia="宋体" w:cs="宋体"/>
                <w:b/>
                <w:bCs/>
                <w:color w:val="000000"/>
                <w:sz w:val="24"/>
                <w:szCs w:val="24"/>
                <w:lang w:val="en-US" w:eastAsia="zh-CN"/>
              </w:rPr>
              <w:t>风险评估</w:t>
            </w:r>
            <w:r>
              <w:rPr>
                <w:rFonts w:hint="eastAsia" w:ascii="宋体" w:hAnsi="宋体" w:eastAsia="宋体" w:cs="宋体"/>
                <w:color w:val="000000"/>
                <w:sz w:val="24"/>
                <w:szCs w:val="24"/>
              </w:rPr>
              <w:t>、碳金融资产融资等模块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含案例数据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w:t>
            </w:r>
          </w:p>
          <w:p>
            <w:pPr>
              <w:spacing w:beforeLines="0" w:afterLines="0"/>
              <w:ind w:firstLine="240" w:firstLineChars="100"/>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碳金融资产类型</w:t>
            </w:r>
            <w:r>
              <w:rPr>
                <w:rFonts w:hint="eastAsia" w:ascii="宋体" w:hAnsi="宋体" w:cs="宋体"/>
                <w:color w:val="000000"/>
                <w:sz w:val="24"/>
                <w:szCs w:val="24"/>
                <w:lang w:val="en-US" w:eastAsia="zh-CN"/>
              </w:rPr>
              <w:t>包括但不限于：</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碳排放权质押融资</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环境治理融资</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碳债券融资</w:t>
            </w:r>
          </w:p>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高端装备融资</w:t>
            </w:r>
          </w:p>
          <w:p>
            <w:pPr>
              <w:spacing w:beforeLines="0" w:afterLines="0"/>
              <w:ind w:firstLine="240" w:firstLineChars="100"/>
              <w:jc w:val="left"/>
              <w:rPr>
                <w:rFonts w:hint="eastAsia" w:ascii="宋体" w:hAnsi="宋体" w:eastAsia="宋体" w:cs="宋体"/>
                <w:color w:val="000000"/>
                <w:sz w:val="24"/>
                <w:szCs w:val="24"/>
                <w:lang w:val="en-US" w:eastAsia="zh-CN"/>
              </w:rPr>
            </w:pPr>
            <w:bookmarkStart w:id="3" w:name="OLE_LINK5"/>
            <w:r>
              <w:rPr>
                <w:rFonts w:hint="eastAsia" w:ascii="宋体" w:hAnsi="宋体" w:eastAsia="宋体" w:cs="宋体"/>
                <w:color w:val="000000"/>
                <w:sz w:val="24"/>
                <w:szCs w:val="24"/>
                <w:lang w:val="en-US" w:eastAsia="zh-CN"/>
              </w:rPr>
              <w:t>碳资产证券化</w:t>
            </w:r>
          </w:p>
          <w:p>
            <w:pPr>
              <w:spacing w:beforeLines="0" w:afterLines="0"/>
              <w:ind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碳资产抵押融资</w:t>
            </w:r>
          </w:p>
          <w:p>
            <w:pPr>
              <w:spacing w:beforeLines="0" w:afterLines="0"/>
              <w:ind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碳资产托管</w:t>
            </w:r>
          </w:p>
          <w:p>
            <w:pPr>
              <w:spacing w:beforeLines="0" w:afterLines="0"/>
              <w:ind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绿色信贷资产证券化</w:t>
            </w:r>
          </w:p>
          <w:bookmarkEnd w:id="3"/>
          <w:p>
            <w:pPr>
              <w:spacing w:beforeLines="0" w:afterLines="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其他类型</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如碳汇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融资项目等</w:t>
            </w:r>
          </w:p>
          <w:p>
            <w:pPr>
              <w:spacing w:beforeLines="0" w:afterLines="0"/>
              <w:jc w:val="left"/>
              <w:rPr>
                <w:rFonts w:hint="eastAsia" w:ascii="宋体" w:hAnsi="宋体" w:eastAsia="宋体" w:cs="宋体"/>
                <w:color w:val="000000"/>
                <w:sz w:val="24"/>
                <w:szCs w:val="24"/>
                <w:lang w:eastAsia="zh-CN"/>
              </w:rPr>
            </w:pP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.3碳金融数据大屏应用</w:t>
            </w:r>
          </w:p>
          <w:p>
            <w:pPr>
              <w:spacing w:beforeLines="0" w:afterLines="0"/>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动态展示平台模拟的碳金融业务整体开展情况，综合展现模拟的碳金融改革创新的建设成果；模拟实现金融机构、政府业务和监管部门、企业不同层级的驾驶舱大屏及业务监测数据，让银企融资在线对接和政策对接等模拟业务</w:t>
            </w:r>
            <w:r>
              <w:rPr>
                <w:rFonts w:hint="eastAsia" w:ascii="宋体" w:hAnsi="宋体" w:eastAsia="宋体" w:cs="宋体"/>
                <w:color w:val="000000"/>
                <w:sz w:val="24"/>
                <w:szCs w:val="24"/>
                <w:lang w:val="en-US" w:eastAsia="zh-CN"/>
              </w:rPr>
              <w:t>运行</w:t>
            </w:r>
            <w:r>
              <w:rPr>
                <w:rFonts w:hint="eastAsia" w:ascii="宋体" w:hAnsi="宋体" w:eastAsia="宋体" w:cs="宋体"/>
                <w:color w:val="000000"/>
                <w:sz w:val="24"/>
                <w:szCs w:val="24"/>
              </w:rPr>
              <w:t>情况一目了然；</w:t>
            </w:r>
          </w:p>
          <w:p>
            <w:pPr>
              <w:spacing w:beforeLines="0" w:afterLines="0"/>
              <w:ind w:firstLine="240" w:firstLineChars="1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可输出平台</w:t>
            </w:r>
            <w:r>
              <w:rPr>
                <w:rFonts w:hint="eastAsia" w:ascii="宋体" w:hAnsi="宋体" w:eastAsia="宋体" w:cs="宋体"/>
                <w:color w:val="000000"/>
                <w:sz w:val="24"/>
                <w:szCs w:val="24"/>
                <w:lang w:val="en-US" w:eastAsia="zh-CN"/>
              </w:rPr>
              <w:t>数据</w:t>
            </w:r>
            <w:r>
              <w:rPr>
                <w:rFonts w:hint="eastAsia" w:ascii="宋体" w:hAnsi="宋体" w:eastAsia="宋体" w:cs="宋体"/>
                <w:color w:val="000000"/>
                <w:sz w:val="24"/>
                <w:szCs w:val="24"/>
              </w:rPr>
              <w:t>驾驶舱、金融机构</w:t>
            </w:r>
            <w:r>
              <w:rPr>
                <w:rFonts w:hint="eastAsia" w:ascii="宋体" w:hAnsi="宋体" w:eastAsia="宋体" w:cs="宋体"/>
                <w:color w:val="000000"/>
                <w:sz w:val="24"/>
                <w:szCs w:val="24"/>
                <w:lang w:val="en-US" w:eastAsia="zh-CN"/>
              </w:rPr>
              <w:t>数据</w:t>
            </w:r>
            <w:r>
              <w:rPr>
                <w:rFonts w:hint="eastAsia" w:ascii="宋体" w:hAnsi="宋体" w:eastAsia="宋体" w:cs="宋体"/>
                <w:color w:val="000000"/>
                <w:sz w:val="24"/>
                <w:szCs w:val="24"/>
              </w:rPr>
              <w:t>驾驶舱、企业</w:t>
            </w:r>
            <w:r>
              <w:rPr>
                <w:rFonts w:hint="eastAsia" w:ascii="宋体" w:hAnsi="宋体" w:eastAsia="宋体" w:cs="宋体"/>
                <w:color w:val="000000"/>
                <w:sz w:val="24"/>
                <w:szCs w:val="24"/>
                <w:lang w:val="en-US" w:eastAsia="zh-CN"/>
              </w:rPr>
              <w:t>数据</w:t>
            </w:r>
            <w:r>
              <w:rPr>
                <w:rFonts w:hint="eastAsia" w:ascii="宋体" w:hAnsi="宋体" w:eastAsia="宋体" w:cs="宋体"/>
                <w:color w:val="000000"/>
                <w:sz w:val="24"/>
                <w:szCs w:val="24"/>
              </w:rPr>
              <w:t>驾驶舱；提供查询统计报表需具备导出、打印功能。</w:t>
            </w:r>
          </w:p>
          <w:p>
            <w:pPr>
              <w:spacing w:beforeLines="0" w:afterLines="0"/>
              <w:jc w:val="left"/>
              <w:rPr>
                <w:rFonts w:hint="eastAsia" w:ascii="宋体" w:hAnsi="宋体" w:eastAsia="宋体" w:cs="宋体"/>
                <w:color w:val="000000"/>
                <w:sz w:val="24"/>
                <w:szCs w:val="24"/>
              </w:rPr>
            </w:pPr>
          </w:p>
          <w:p>
            <w:pPr>
              <w:spacing w:beforeLines="0" w:afterLines="0"/>
              <w:jc w:val="left"/>
              <w:rPr>
                <w:rFonts w:hint="eastAsia" w:ascii="宋体" w:hAnsi="宋体" w:eastAsia="宋体" w:cs="宋体"/>
                <w:color w:val="000000"/>
                <w:sz w:val="24"/>
                <w:szCs w:val="24"/>
              </w:rPr>
            </w:pPr>
          </w:p>
        </w:tc>
        <w:tc>
          <w:tcPr>
            <w:tcW w:w="75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705"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2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工业</w:t>
            </w:r>
          </w:p>
        </w:tc>
        <w:tc>
          <w:tcPr>
            <w:tcW w:w="916" w:type="dxa"/>
            <w:tcBorders>
              <w:tl2br w:val="nil"/>
              <w:tr2bl w:val="nil"/>
            </w:tcBorders>
            <w:noWrap w:val="0"/>
            <w:vAlign w:val="center"/>
          </w:tcPr>
          <w:p>
            <w:pPr>
              <w:spacing w:beforeLines="0" w:afterLines="0"/>
              <w:jc w:val="center"/>
              <w:rPr>
                <w:rFonts w:hint="eastAsia" w:ascii="宋体" w:hAnsi="宋体" w:eastAsia="宋体" w:cs="宋体"/>
                <w:color w:val="000000"/>
                <w:sz w:val="24"/>
                <w:szCs w:val="24"/>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CE718"/>
    <w:multiLevelType w:val="singleLevel"/>
    <w:tmpl w:val="997CE718"/>
    <w:lvl w:ilvl="0" w:tentative="0">
      <w:start w:val="5"/>
      <w:numFmt w:val="decimal"/>
      <w:lvlText w:val="%1."/>
      <w:lvlJc w:val="left"/>
      <w:pPr>
        <w:tabs>
          <w:tab w:val="left" w:pos="312"/>
        </w:tabs>
      </w:pPr>
    </w:lvl>
  </w:abstractNum>
  <w:abstractNum w:abstractNumId="1">
    <w:nsid w:val="BB308F57"/>
    <w:multiLevelType w:val="singleLevel"/>
    <w:tmpl w:val="BB308F57"/>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NiMmJjMGUyMDNhMGI0MjllZTc4OTE3ODRjOTBjMWQifQ=="/>
  </w:docVars>
  <w:rsids>
    <w:rsidRoot w:val="00D30AEF"/>
    <w:rsid w:val="004A54BA"/>
    <w:rsid w:val="007D36CE"/>
    <w:rsid w:val="00937B7C"/>
    <w:rsid w:val="00D30AEF"/>
    <w:rsid w:val="00D452F9"/>
    <w:rsid w:val="00D81349"/>
    <w:rsid w:val="00E0360B"/>
    <w:rsid w:val="0D852598"/>
    <w:rsid w:val="17F43179"/>
    <w:rsid w:val="197A7C53"/>
    <w:rsid w:val="1AE43FA5"/>
    <w:rsid w:val="1C9C3D56"/>
    <w:rsid w:val="245D5A16"/>
    <w:rsid w:val="2AF70965"/>
    <w:rsid w:val="2E99193A"/>
    <w:rsid w:val="3AD26B7A"/>
    <w:rsid w:val="446E0CC0"/>
    <w:rsid w:val="45D977FD"/>
    <w:rsid w:val="46C445B0"/>
    <w:rsid w:val="47B210D9"/>
    <w:rsid w:val="53B021EB"/>
    <w:rsid w:val="66235B6E"/>
    <w:rsid w:val="6B694D76"/>
    <w:rsid w:val="7D5D6823"/>
    <w:rsid w:val="7E960384"/>
    <w:rsid w:val="7EAB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Calibri Light" w:hAnsi="Calibri Light" w:eastAsia="宋体" w:cs="Times New Roman"/>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正文1"/>
    <w:basedOn w:val="1"/>
    <w:next w:val="1"/>
    <w:qFormat/>
    <w:uiPriority w:val="0"/>
    <w:pPr>
      <w:spacing w:line="360" w:lineRule="auto"/>
      <w:ind w:firstLine="200" w:firstLineChars="200"/>
      <w:jc w:val="left"/>
    </w:pPr>
    <w:rPr>
      <w:rFonts w:ascii="Times New Roman" w:hAnsi="Times New Roman" w:eastAsia="宋体" w:cs="Times New Roman"/>
      <w:sz w:val="24"/>
      <w:szCs w:val="24"/>
    </w:rPr>
  </w:style>
  <w:style w:type="paragraph" w:styleId="7">
    <w:name w:val="annotation text"/>
    <w:basedOn w:val="1"/>
    <w:qFormat/>
    <w:uiPriority w:val="0"/>
    <w:pPr>
      <w:jc w:val="left"/>
    </w:pPr>
  </w:style>
  <w:style w:type="paragraph" w:styleId="8">
    <w:name w:val="Body Text"/>
    <w:basedOn w:val="1"/>
    <w:next w:val="1"/>
    <w:link w:val="21"/>
    <w:unhideWhenUsed/>
    <w:qFormat/>
    <w:uiPriority w:val="99"/>
    <w:pPr>
      <w:spacing w:after="120"/>
    </w:pPr>
  </w:style>
  <w:style w:type="paragraph" w:styleId="9">
    <w:name w:val="Body Text Indent"/>
    <w:basedOn w:val="1"/>
    <w:next w:val="10"/>
    <w:qFormat/>
    <w:uiPriority w:val="0"/>
    <w:pPr>
      <w:spacing w:line="360" w:lineRule="auto"/>
      <w:ind w:firstLine="570"/>
    </w:pPr>
  </w:style>
  <w:style w:type="paragraph" w:styleId="10">
    <w:name w:val="envelope return"/>
    <w:basedOn w:val="1"/>
    <w:qFormat/>
    <w:uiPriority w:val="0"/>
    <w:pPr>
      <w:snapToGrid w:val="0"/>
    </w:pPr>
    <w:rPr>
      <w:rFonts w:ascii="Arial" w:hAnsi="Arial"/>
    </w:rPr>
  </w:style>
  <w:style w:type="paragraph" w:styleId="11">
    <w:name w:val="Body Text Indent 2"/>
    <w:basedOn w:val="1"/>
    <w:qFormat/>
    <w:uiPriority w:val="0"/>
    <w:pPr>
      <w:ind w:firstLine="200" w:firstLineChars="200"/>
    </w:pPr>
    <w:rPr>
      <w:rFonts w:ascii="Calibri" w:hAnsi="Calibri"/>
      <w:szCs w:val="24"/>
    </w:rPr>
  </w:style>
  <w:style w:type="paragraph" w:styleId="12">
    <w:name w:val="footer"/>
    <w:basedOn w:val="1"/>
    <w:link w:val="2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1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Body Text First Indent 2"/>
    <w:basedOn w:val="9"/>
    <w:next w:val="1"/>
    <w:qFormat/>
    <w:uiPriority w:val="0"/>
    <w:pPr>
      <w:spacing w:after="120" w:line="240" w:lineRule="auto"/>
      <w:ind w:left="420" w:leftChars="200" w:firstLine="420" w:firstLineChars="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qFormat/>
    <w:uiPriority w:val="0"/>
    <w:rPr>
      <w:sz w:val="21"/>
      <w:szCs w:val="21"/>
    </w:rPr>
  </w:style>
  <w:style w:type="character" w:customStyle="1" w:styleId="19">
    <w:name w:val="页眉 Char"/>
    <w:basedOn w:val="17"/>
    <w:link w:val="13"/>
    <w:semiHidden/>
    <w:qFormat/>
    <w:uiPriority w:val="99"/>
    <w:rPr>
      <w:sz w:val="18"/>
      <w:szCs w:val="18"/>
    </w:rPr>
  </w:style>
  <w:style w:type="character" w:customStyle="1" w:styleId="20">
    <w:name w:val="页脚 Char"/>
    <w:basedOn w:val="17"/>
    <w:link w:val="12"/>
    <w:semiHidden/>
    <w:qFormat/>
    <w:uiPriority w:val="99"/>
    <w:rPr>
      <w:sz w:val="18"/>
      <w:szCs w:val="18"/>
    </w:rPr>
  </w:style>
  <w:style w:type="character" w:customStyle="1" w:styleId="21">
    <w:name w:val="正文文本 Char"/>
    <w:basedOn w:val="17"/>
    <w:link w:val="8"/>
    <w:qFormat/>
    <w:uiPriority w:val="99"/>
    <w:rPr>
      <w:rFonts w:ascii="Times New Roman" w:hAnsi="Times New Roman" w:eastAsia="宋体" w:cs="Times New Roman"/>
      <w:szCs w:val="20"/>
    </w:rPr>
  </w:style>
  <w:style w:type="paragraph" w:styleId="22">
    <w:name w:val="List Paragraph"/>
    <w:basedOn w:val="1"/>
    <w:qFormat/>
    <w:uiPriority w:val="34"/>
    <w:pPr>
      <w:ind w:firstLine="420" w:firstLineChars="200"/>
    </w:pPr>
    <w:rPr>
      <w:rFonts w:ascii="Calibri" w:hAnsi="Calibri" w:eastAsia="宋体" w:cs="Times New Roman"/>
      <w:szCs w:val="22"/>
    </w:rPr>
  </w:style>
  <w:style w:type="character" w:customStyle="1" w:styleId="23">
    <w:name w:val="font31"/>
    <w:basedOn w:val="17"/>
    <w:qFormat/>
    <w:uiPriority w:val="0"/>
    <w:rPr>
      <w:rFonts w:hint="eastAsia" w:ascii="宋体" w:hAnsi="宋体" w:eastAsia="宋体" w:cs="宋体"/>
      <w:color w:val="000000"/>
      <w:sz w:val="21"/>
      <w:szCs w:val="21"/>
      <w:u w:val="none"/>
    </w:rPr>
  </w:style>
  <w:style w:type="character" w:customStyle="1" w:styleId="24">
    <w:name w:val="font01"/>
    <w:basedOn w:val="1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4462</Words>
  <Characters>4763</Characters>
  <Lines>19</Lines>
  <Paragraphs>5</Paragraphs>
  <TotalTime>0</TotalTime>
  <ScaleCrop>false</ScaleCrop>
  <LinksUpToDate>false</LinksUpToDate>
  <CharactersWithSpaces>4772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2021-10-27T01:44:00Z</dcterms:created>
  <dc:creator>初审-袁童</dc:creator>
  <cp:lastModifiedBy>Jin.</cp:lastModifiedBy>
  <dcterms:modified xsi:type="dcterms:W3CDTF">2023-08-02T08:10:41Z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AA59028EB201467D9C8F62DF5732DBD0</vt:lpwstr>
  </property>
</Properties>
</file>